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64" w:rsidRDefault="006E186A" w:rsidP="006D5099">
      <w:r>
        <w:rPr>
          <w:noProof/>
          <w:lang w:eastAsia="en-GB"/>
        </w:rPr>
        <w:drawing>
          <wp:anchor distT="0" distB="0" distL="114300" distR="114300" simplePos="0" relativeHeight="251665408" behindDoc="1" locked="0" layoutInCell="1" allowOverlap="1" wp14:anchorId="1E3DC6EC" wp14:editId="43050475">
            <wp:simplePos x="0" y="0"/>
            <wp:positionH relativeFrom="column">
              <wp:posOffset>-1078865</wp:posOffset>
            </wp:positionH>
            <wp:positionV relativeFrom="paragraph">
              <wp:posOffset>-737235</wp:posOffset>
            </wp:positionV>
            <wp:extent cx="7598084" cy="1074716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1.jpg"/>
                    <pic:cNvPicPr/>
                  </pic:nvPicPr>
                  <pic:blipFill>
                    <a:blip r:embed="rId8">
                      <a:extLst>
                        <a:ext uri="{28A0092B-C50C-407E-A947-70E740481C1C}">
                          <a14:useLocalDpi xmlns:a14="http://schemas.microsoft.com/office/drawing/2010/main" val="0"/>
                        </a:ext>
                      </a:extLst>
                    </a:blip>
                    <a:stretch>
                      <a:fillRect/>
                    </a:stretch>
                  </pic:blipFill>
                  <pic:spPr>
                    <a:xfrm>
                      <a:off x="0" y="0"/>
                      <a:ext cx="7598084" cy="10747169"/>
                    </a:xfrm>
                    <a:prstGeom prst="rect">
                      <a:avLst/>
                    </a:prstGeom>
                  </pic:spPr>
                </pic:pic>
              </a:graphicData>
            </a:graphic>
            <wp14:sizeRelH relativeFrom="page">
              <wp14:pctWidth>0</wp14:pctWidth>
            </wp14:sizeRelH>
            <wp14:sizeRelV relativeFrom="page">
              <wp14:pctHeight>0</wp14:pctHeight>
            </wp14:sizeRelV>
          </wp:anchor>
        </w:drawing>
      </w:r>
    </w:p>
    <w:p w:rsidR="006C6F64" w:rsidRDefault="006C6F64" w:rsidP="006D5099">
      <w:r>
        <w:rPr>
          <w:noProof/>
          <w:lang w:eastAsia="en-GB"/>
        </w:rPr>
        <mc:AlternateContent>
          <mc:Choice Requires="wpg">
            <w:drawing>
              <wp:anchor distT="0" distB="0" distL="114300" distR="114300" simplePos="0" relativeHeight="251663360" behindDoc="0" locked="0" layoutInCell="1" allowOverlap="1" wp14:anchorId="7E1C14E1" wp14:editId="165A0323">
                <wp:simplePos x="0" y="0"/>
                <wp:positionH relativeFrom="column">
                  <wp:posOffset>920115</wp:posOffset>
                </wp:positionH>
                <wp:positionV relativeFrom="paragraph">
                  <wp:posOffset>2028825</wp:posOffset>
                </wp:positionV>
                <wp:extent cx="5142865" cy="5572125"/>
                <wp:effectExtent l="0" t="0" r="0" b="9525"/>
                <wp:wrapSquare wrapText="bothSides"/>
                <wp:docPr id="11" name="Group 11"/>
                <wp:cNvGraphicFramePr/>
                <a:graphic xmlns:a="http://schemas.openxmlformats.org/drawingml/2006/main">
                  <a:graphicData uri="http://schemas.microsoft.com/office/word/2010/wordprocessingGroup">
                    <wpg:wgp>
                      <wpg:cNvGrpSpPr/>
                      <wpg:grpSpPr>
                        <a:xfrm>
                          <a:off x="0" y="0"/>
                          <a:ext cx="5142865" cy="5572125"/>
                          <a:chOff x="0" y="0"/>
                          <a:chExt cx="5143500" cy="4393499"/>
                        </a:xfrm>
                      </wpg:grpSpPr>
                      <wps:wsp>
                        <wps:cNvPr id="2" name="Text Box 2"/>
                        <wps:cNvSpPr txBox="1"/>
                        <wps:spPr>
                          <a:xfrm>
                            <a:off x="54037" y="434031"/>
                            <a:ext cx="5072932" cy="10274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01FAD" w:rsidRDefault="00E01FAD" w:rsidP="00D63739">
                              <w:pPr>
                                <w:rPr>
                                  <w:b/>
                                  <w:color w:val="F79646" w:themeColor="accent6"/>
                                  <w:sz w:val="72"/>
                                </w:rPr>
                              </w:pPr>
                            </w:p>
                            <w:p w:rsidR="00E01FAD" w:rsidRPr="00FE665F" w:rsidRDefault="00E01FAD" w:rsidP="00D63739">
                              <w:r>
                                <w:rPr>
                                  <w:b/>
                                  <w:color w:val="F79646" w:themeColor="accent6"/>
                                  <w:sz w:val="72"/>
                                </w:rPr>
                                <w:t xml:space="preserve">Pay </w:t>
                              </w:r>
                              <w:r w:rsidRPr="0094500E">
                                <w:rPr>
                                  <w:b/>
                                  <w:color w:val="F79646" w:themeColor="accent6"/>
                                  <w:sz w:val="72"/>
                                </w:rPr>
                                <w:t>Policy</w:t>
                              </w:r>
                              <w:r>
                                <w:rPr>
                                  <w:b/>
                                  <w:color w:val="F79646" w:themeColor="accent6"/>
                                  <w:sz w:val="72"/>
                                </w:rPr>
                                <w:t xml:space="preserve"> –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5143500" cy="43403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01FAD" w:rsidRPr="00623267" w:rsidRDefault="00B34ED9" w:rsidP="00787EA6">
                              <w:pPr>
                                <w:rPr>
                                  <w:b/>
                                  <w:color w:val="A6A6A6" w:themeColor="background1" w:themeShade="A6"/>
                                  <w:sz w:val="28"/>
                                </w:rPr>
                              </w:pPr>
                              <w:r>
                                <w:rPr>
                                  <w:b/>
                                  <w:color w:val="A6A6A6" w:themeColor="background1" w:themeShade="A6"/>
                                  <w:sz w:val="28"/>
                                </w:rPr>
                                <w:t>Wibsey Primary School</w:t>
                              </w:r>
                            </w:p>
                            <w:p w:rsidR="00E01FAD" w:rsidRPr="00077793" w:rsidRDefault="00E01FAD" w:rsidP="00787EA6">
                              <w:pPr>
                                <w:rPr>
                                  <w:b/>
                                  <w:color w:val="A6A6A6" w:themeColor="background1" w:themeShade="A6"/>
                                  <w:sz w:val="28"/>
                                </w:rPr>
                              </w:pPr>
                              <w:r>
                                <w:rPr>
                                  <w:b/>
                                  <w:color w:val="A6A6A6" w:themeColor="background1" w:themeShade="A6"/>
                                  <w:sz w:val="28"/>
                                </w:rPr>
                                <w:t xml:space="preserve">Pay </w:t>
                              </w:r>
                              <w:r w:rsidRPr="00623267">
                                <w:rPr>
                                  <w:b/>
                                  <w:color w:val="A6A6A6" w:themeColor="background1" w:themeShade="A6"/>
                                  <w:sz w:val="28"/>
                                </w:rPr>
                                <w:t>Policy for School Staff</w:t>
                              </w:r>
                            </w:p>
                            <w:p w:rsidR="00E01FAD" w:rsidRPr="00077793" w:rsidRDefault="00E01FAD" w:rsidP="00D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748484"/>
                            <a:ext cx="5057653" cy="2645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01FAD" w:rsidRPr="00064D4E" w:rsidRDefault="00B34ED9" w:rsidP="00305995">
                              <w:pPr>
                                <w:rPr>
                                  <w:sz w:val="10"/>
                                </w:rPr>
                              </w:pPr>
                              <w:r>
                                <w:rPr>
                                  <w:sz w:val="22"/>
                                </w:rPr>
                                <w:t>Wibsey Primary School</w:t>
                              </w:r>
                              <w:r w:rsidR="00E01FAD" w:rsidRPr="00064D4E">
                                <w:rPr>
                                  <w:sz w:val="22"/>
                                </w:rPr>
                                <w:t xml:space="preserve"> has adopted the PACT HR recommended model procedure as agreed by Trade Unions.</w:t>
                              </w:r>
                              <w:r w:rsidR="00E01FAD" w:rsidRPr="00064D4E">
                                <w:rPr>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3357"/>
                              </w:tblGrid>
                              <w:tr w:rsidR="00E01FAD" w:rsidRPr="00064D4E" w:rsidTr="00DB0D03">
                                <w:tc>
                                  <w:tcPr>
                                    <w:tcW w:w="4361" w:type="dxa"/>
                                    <w:vAlign w:val="bottom"/>
                                  </w:tcPr>
                                  <w:p w:rsidR="00E01FAD" w:rsidRPr="00064D4E" w:rsidRDefault="00E01FAD" w:rsidP="00DB0D03">
                                    <w:pPr>
                                      <w:spacing w:line="276" w:lineRule="auto"/>
                                      <w:jc w:val="right"/>
                                      <w:rPr>
                                        <w:sz w:val="22"/>
                                      </w:rPr>
                                    </w:pPr>
                                    <w:r w:rsidRPr="00064D4E">
                                      <w:rPr>
                                        <w:sz w:val="22"/>
                                      </w:rPr>
                                      <w:t>Approved by the governing body</w:t>
                                    </w:r>
                                    <w:bookmarkStart w:id="0" w:name="_GoBack"/>
                                    <w:bookmarkEnd w:id="0"/>
                                    <w:r w:rsidRPr="00064D4E">
                                      <w:rPr>
                                        <w:sz w:val="22"/>
                                      </w:rPr>
                                      <w:t xml:space="preserve"> on:</w:t>
                                    </w:r>
                                  </w:p>
                                </w:tc>
                                <w:tc>
                                  <w:tcPr>
                                    <w:tcW w:w="3387" w:type="dxa"/>
                                    <w:tcBorders>
                                      <w:bottom w:val="single" w:sz="4" w:space="0" w:color="808080" w:themeColor="background1" w:themeShade="80"/>
                                    </w:tcBorders>
                                    <w:vAlign w:val="bottom"/>
                                  </w:tcPr>
                                  <w:p w:rsidR="00E01FAD" w:rsidRPr="00064D4E" w:rsidRDefault="00B34ED9" w:rsidP="00B34ED9">
                                    <w:pPr>
                                      <w:spacing w:line="276" w:lineRule="auto"/>
                                      <w:jc w:val="center"/>
                                      <w:rPr>
                                        <w:sz w:val="22"/>
                                      </w:rPr>
                                    </w:pPr>
                                    <w:r>
                                      <w:rPr>
                                        <w:sz w:val="22"/>
                                      </w:rPr>
                                      <w:t>1</w:t>
                                    </w:r>
                                    <w:r w:rsidRPr="00B34ED9">
                                      <w:rPr>
                                        <w:sz w:val="22"/>
                                        <w:vertAlign w:val="superscript"/>
                                      </w:rPr>
                                      <w:t>st</w:t>
                                    </w:r>
                                    <w:r>
                                      <w:rPr>
                                        <w:sz w:val="22"/>
                                      </w:rPr>
                                      <w:t xml:space="preserve"> February 2018</w:t>
                                    </w:r>
                                  </w:p>
                                </w:tc>
                              </w:tr>
                              <w:tr w:rsidR="00E01FAD" w:rsidRPr="00064D4E" w:rsidTr="00DB0D03">
                                <w:trPr>
                                  <w:trHeight w:val="543"/>
                                </w:trPr>
                                <w:tc>
                                  <w:tcPr>
                                    <w:tcW w:w="4361" w:type="dxa"/>
                                    <w:vAlign w:val="bottom"/>
                                  </w:tcPr>
                                  <w:p w:rsidR="00E01FAD" w:rsidRPr="00064D4E" w:rsidRDefault="00E01FAD" w:rsidP="00DB0D03">
                                    <w:pPr>
                                      <w:spacing w:line="276" w:lineRule="auto"/>
                                      <w:jc w:val="right"/>
                                      <w:rPr>
                                        <w:sz w:val="22"/>
                                      </w:rPr>
                                    </w:pPr>
                                    <w:r w:rsidRPr="00064D4E">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E01FAD" w:rsidRPr="00064D4E" w:rsidRDefault="00B34ED9" w:rsidP="00B34ED9">
                                    <w:pPr>
                                      <w:spacing w:line="276" w:lineRule="auto"/>
                                      <w:jc w:val="center"/>
                                      <w:rPr>
                                        <w:sz w:val="22"/>
                                      </w:rPr>
                                    </w:pPr>
                                    <w:r>
                                      <w:rPr>
                                        <w:sz w:val="22"/>
                                      </w:rPr>
                                      <w:t>Upon a new policy being issued by PACT HR</w:t>
                                    </w:r>
                                  </w:p>
                                </w:tc>
                              </w:tr>
                              <w:tr w:rsidR="00E01FAD" w:rsidRPr="00064D4E" w:rsidTr="00DB0D03">
                                <w:trPr>
                                  <w:trHeight w:val="551"/>
                                </w:trPr>
                                <w:tc>
                                  <w:tcPr>
                                    <w:tcW w:w="4361" w:type="dxa"/>
                                    <w:vAlign w:val="bottom"/>
                                  </w:tcPr>
                                  <w:p w:rsidR="00E01FAD" w:rsidRPr="00064D4E" w:rsidRDefault="00E01FAD" w:rsidP="00DB0D03">
                                    <w:pPr>
                                      <w:spacing w:line="276" w:lineRule="auto"/>
                                      <w:jc w:val="right"/>
                                      <w:rPr>
                                        <w:sz w:val="22"/>
                                      </w:rPr>
                                    </w:pPr>
                                    <w:r w:rsidRPr="00064D4E">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E01FAD" w:rsidRPr="00064D4E" w:rsidRDefault="00E01FAD" w:rsidP="00DB0D03">
                                    <w:pPr>
                                      <w:spacing w:line="276" w:lineRule="auto"/>
                                      <w:jc w:val="right"/>
                                      <w:rPr>
                                        <w:sz w:val="22"/>
                                      </w:rPr>
                                    </w:pPr>
                                  </w:p>
                                </w:tc>
                              </w:tr>
                            </w:tbl>
                            <w:p w:rsidR="00E01FAD" w:rsidRPr="00064D4E" w:rsidRDefault="00E01FAD" w:rsidP="00305995">
                              <w:pPr>
                                <w:rPr>
                                  <w:sz w:val="12"/>
                                </w:rPr>
                              </w:pPr>
                            </w:p>
                            <w:p w:rsidR="00E01FAD" w:rsidRDefault="00B34ED9" w:rsidP="001E7AF4">
                              <w:pPr>
                                <w:rPr>
                                  <w:sz w:val="22"/>
                                </w:rPr>
                              </w:pPr>
                              <w:r>
                                <w:rPr>
                                  <w:sz w:val="22"/>
                                </w:rPr>
                                <w:tab/>
                              </w:r>
                              <w:r>
                                <w:rPr>
                                  <w:sz w:val="22"/>
                                </w:rPr>
                                <w:tab/>
                              </w:r>
                              <w:r>
                                <w:rPr>
                                  <w:sz w:val="22"/>
                                </w:rPr>
                                <w:tab/>
                              </w:r>
                              <w:r>
                                <w:rPr>
                                  <w:sz w:val="22"/>
                                </w:rPr>
                                <w:tab/>
                              </w:r>
                              <w:r>
                                <w:rPr>
                                  <w:sz w:val="22"/>
                                </w:rPr>
                                <w:tab/>
                              </w:r>
                              <w:r>
                                <w:rPr>
                                  <w:sz w:val="22"/>
                                </w:rPr>
                                <w:tab/>
                                <w:t>Chair of Governors</w:t>
                              </w:r>
                            </w:p>
                            <w:p w:rsidR="00E01FAD" w:rsidRDefault="00E01FAD" w:rsidP="001E7AF4">
                              <w:pPr>
                                <w:rPr>
                                  <w:sz w:val="22"/>
                                </w:rPr>
                              </w:pPr>
                              <w:r w:rsidRPr="00064D4E">
                                <w:rPr>
                                  <w:sz w:val="22"/>
                                </w:rPr>
                                <w:t>NB. This guidance will be retained for a period of 7 years from replacement.</w:t>
                              </w:r>
                            </w:p>
                            <w:p w:rsidR="005572B8" w:rsidRDefault="005572B8" w:rsidP="001E7AF4">
                              <w:pPr>
                                <w:rPr>
                                  <w:sz w:val="22"/>
                                </w:rPr>
                              </w:pPr>
                            </w:p>
                            <w:p w:rsidR="005572B8" w:rsidRPr="00064D4E" w:rsidRDefault="00A30BA7" w:rsidP="001E7AF4">
                              <w:pPr>
                                <w:rPr>
                                  <w:sz w:val="22"/>
                                </w:rPr>
                              </w:pPr>
                              <w:r>
                                <w:rPr>
                                  <w:sz w:val="22"/>
                                </w:rPr>
                                <w:t>Updated</w:t>
                              </w:r>
                              <w:r w:rsidR="005572B8">
                                <w:rPr>
                                  <w:sz w:val="22"/>
                                </w:rPr>
                                <w:t>: December 2017</w:t>
                              </w:r>
                            </w:p>
                            <w:p w:rsidR="00E01FAD" w:rsidRDefault="00E01FAD" w:rsidP="00305995"/>
                            <w:p w:rsidR="00E01FAD" w:rsidRPr="00077793" w:rsidRDefault="00E01FAD" w:rsidP="00D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1C14E1" id="Group 11" o:spid="_x0000_s1026" style="position:absolute;margin-left:72.45pt;margin-top:159.75pt;width:404.95pt;height:438.75pt;z-index:251663360;mso-width-relative:margin;mso-height-relative:margin" coordsize="51435,4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">
                <v:shapetype id="_x0000_t202" coordsize="21600,21600" o:spt="202" path="m,l,21600r21600,l21600,xe">
                  <v:stroke joinstyle="miter"/>
                  <v:path gradientshapeok="t" o:connecttype="rect"/>
                </v:shapetype>
                <v:shape id="Text Box 2" o:spid="_x0000_s1027" type="#_x0000_t202" style="position:absolute;left:540;top:4340;width:50729;height:10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E01FAD" w:rsidRDefault="00E01FAD" w:rsidP="00D63739">
                        <w:pPr>
                          <w:rPr>
                            <w:b/>
                            <w:color w:val="F79646" w:themeColor="accent6"/>
                            <w:sz w:val="72"/>
                          </w:rPr>
                        </w:pPr>
                      </w:p>
                      <w:p w:rsidR="00E01FAD" w:rsidRPr="00FE665F" w:rsidRDefault="00E01FAD" w:rsidP="00D63739">
                        <w:r>
                          <w:rPr>
                            <w:b/>
                            <w:color w:val="F79646" w:themeColor="accent6"/>
                            <w:sz w:val="72"/>
                          </w:rPr>
                          <w:t xml:space="preserve">Pay </w:t>
                        </w:r>
                        <w:r w:rsidRPr="0094500E">
                          <w:rPr>
                            <w:b/>
                            <w:color w:val="F79646" w:themeColor="accent6"/>
                            <w:sz w:val="72"/>
                          </w:rPr>
                          <w:t>Policy</w:t>
                        </w:r>
                        <w:r>
                          <w:rPr>
                            <w:b/>
                            <w:color w:val="F79646" w:themeColor="accent6"/>
                            <w:sz w:val="72"/>
                          </w:rPr>
                          <w:t xml:space="preserve"> – 2017</w:t>
                        </w:r>
                      </w:p>
                    </w:txbxContent>
                  </v:textbox>
                </v:shape>
                <v:shape id="Text Box 7" o:spid="_x0000_s1028" type="#_x0000_t202" style="position:absolute;width:51435;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01FAD" w:rsidRPr="00623267" w:rsidRDefault="00B34ED9" w:rsidP="00787EA6">
                        <w:pPr>
                          <w:rPr>
                            <w:b/>
                            <w:color w:val="A6A6A6" w:themeColor="background1" w:themeShade="A6"/>
                            <w:sz w:val="28"/>
                          </w:rPr>
                        </w:pPr>
                        <w:r>
                          <w:rPr>
                            <w:b/>
                            <w:color w:val="A6A6A6" w:themeColor="background1" w:themeShade="A6"/>
                            <w:sz w:val="28"/>
                          </w:rPr>
                          <w:t>Wibsey Primary School</w:t>
                        </w:r>
                      </w:p>
                      <w:p w:rsidR="00E01FAD" w:rsidRPr="00077793" w:rsidRDefault="00E01FAD" w:rsidP="00787EA6">
                        <w:pPr>
                          <w:rPr>
                            <w:b/>
                            <w:color w:val="A6A6A6" w:themeColor="background1" w:themeShade="A6"/>
                            <w:sz w:val="28"/>
                          </w:rPr>
                        </w:pPr>
                        <w:r>
                          <w:rPr>
                            <w:b/>
                            <w:color w:val="A6A6A6" w:themeColor="background1" w:themeShade="A6"/>
                            <w:sz w:val="28"/>
                          </w:rPr>
                          <w:t xml:space="preserve">Pay </w:t>
                        </w:r>
                        <w:r w:rsidRPr="00623267">
                          <w:rPr>
                            <w:b/>
                            <w:color w:val="A6A6A6" w:themeColor="background1" w:themeShade="A6"/>
                            <w:sz w:val="28"/>
                          </w:rPr>
                          <w:t>Policy for School Staff</w:t>
                        </w:r>
                      </w:p>
                      <w:p w:rsidR="00E01FAD" w:rsidRPr="00077793" w:rsidRDefault="00E01FAD" w:rsidP="00D63739"/>
                    </w:txbxContent>
                  </v:textbox>
                </v:shape>
                <v:shape id="Text Box 10" o:spid="_x0000_s1029" type="#_x0000_t202" style="position:absolute;top:17484;width:50576;height:26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E01FAD" w:rsidRPr="00064D4E" w:rsidRDefault="00B34ED9" w:rsidP="00305995">
                        <w:pPr>
                          <w:rPr>
                            <w:sz w:val="10"/>
                          </w:rPr>
                        </w:pPr>
                        <w:r>
                          <w:rPr>
                            <w:sz w:val="22"/>
                          </w:rPr>
                          <w:t>Wibsey Primary School</w:t>
                        </w:r>
                        <w:r w:rsidR="00E01FAD" w:rsidRPr="00064D4E">
                          <w:rPr>
                            <w:sz w:val="22"/>
                          </w:rPr>
                          <w:t xml:space="preserve"> has adopted the PACT HR recommended model procedure as agreed by Trade Unions.</w:t>
                        </w:r>
                        <w:r w:rsidR="00E01FAD" w:rsidRPr="00064D4E">
                          <w:rPr>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3357"/>
                        </w:tblGrid>
                        <w:tr w:rsidR="00E01FAD" w:rsidRPr="00064D4E" w:rsidTr="00DB0D03">
                          <w:tc>
                            <w:tcPr>
                              <w:tcW w:w="4361" w:type="dxa"/>
                              <w:vAlign w:val="bottom"/>
                            </w:tcPr>
                            <w:p w:rsidR="00E01FAD" w:rsidRPr="00064D4E" w:rsidRDefault="00E01FAD" w:rsidP="00DB0D03">
                              <w:pPr>
                                <w:spacing w:line="276" w:lineRule="auto"/>
                                <w:jc w:val="right"/>
                                <w:rPr>
                                  <w:sz w:val="22"/>
                                </w:rPr>
                              </w:pPr>
                              <w:r w:rsidRPr="00064D4E">
                                <w:rPr>
                                  <w:sz w:val="22"/>
                                </w:rPr>
                                <w:t>Approved by the governing body</w:t>
                              </w:r>
                              <w:bookmarkStart w:id="1" w:name="_GoBack"/>
                              <w:bookmarkEnd w:id="1"/>
                              <w:r w:rsidRPr="00064D4E">
                                <w:rPr>
                                  <w:sz w:val="22"/>
                                </w:rPr>
                                <w:t xml:space="preserve"> on:</w:t>
                              </w:r>
                            </w:p>
                          </w:tc>
                          <w:tc>
                            <w:tcPr>
                              <w:tcW w:w="3387" w:type="dxa"/>
                              <w:tcBorders>
                                <w:bottom w:val="single" w:sz="4" w:space="0" w:color="808080" w:themeColor="background1" w:themeShade="80"/>
                              </w:tcBorders>
                              <w:vAlign w:val="bottom"/>
                            </w:tcPr>
                            <w:p w:rsidR="00E01FAD" w:rsidRPr="00064D4E" w:rsidRDefault="00B34ED9" w:rsidP="00B34ED9">
                              <w:pPr>
                                <w:spacing w:line="276" w:lineRule="auto"/>
                                <w:jc w:val="center"/>
                                <w:rPr>
                                  <w:sz w:val="22"/>
                                </w:rPr>
                              </w:pPr>
                              <w:r>
                                <w:rPr>
                                  <w:sz w:val="22"/>
                                </w:rPr>
                                <w:t>1</w:t>
                              </w:r>
                              <w:r w:rsidRPr="00B34ED9">
                                <w:rPr>
                                  <w:sz w:val="22"/>
                                  <w:vertAlign w:val="superscript"/>
                                </w:rPr>
                                <w:t>st</w:t>
                              </w:r>
                              <w:r>
                                <w:rPr>
                                  <w:sz w:val="22"/>
                                </w:rPr>
                                <w:t xml:space="preserve"> February 2018</w:t>
                              </w:r>
                            </w:p>
                          </w:tc>
                        </w:tr>
                        <w:tr w:rsidR="00E01FAD" w:rsidRPr="00064D4E" w:rsidTr="00DB0D03">
                          <w:trPr>
                            <w:trHeight w:val="543"/>
                          </w:trPr>
                          <w:tc>
                            <w:tcPr>
                              <w:tcW w:w="4361" w:type="dxa"/>
                              <w:vAlign w:val="bottom"/>
                            </w:tcPr>
                            <w:p w:rsidR="00E01FAD" w:rsidRPr="00064D4E" w:rsidRDefault="00E01FAD" w:rsidP="00DB0D03">
                              <w:pPr>
                                <w:spacing w:line="276" w:lineRule="auto"/>
                                <w:jc w:val="right"/>
                                <w:rPr>
                                  <w:sz w:val="22"/>
                                </w:rPr>
                              </w:pPr>
                              <w:r w:rsidRPr="00064D4E">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E01FAD" w:rsidRPr="00064D4E" w:rsidRDefault="00B34ED9" w:rsidP="00B34ED9">
                              <w:pPr>
                                <w:spacing w:line="276" w:lineRule="auto"/>
                                <w:jc w:val="center"/>
                                <w:rPr>
                                  <w:sz w:val="22"/>
                                </w:rPr>
                              </w:pPr>
                              <w:r>
                                <w:rPr>
                                  <w:sz w:val="22"/>
                                </w:rPr>
                                <w:t>Upon a new policy being issued by PACT HR</w:t>
                              </w:r>
                            </w:p>
                          </w:tc>
                        </w:tr>
                        <w:tr w:rsidR="00E01FAD" w:rsidRPr="00064D4E" w:rsidTr="00DB0D03">
                          <w:trPr>
                            <w:trHeight w:val="551"/>
                          </w:trPr>
                          <w:tc>
                            <w:tcPr>
                              <w:tcW w:w="4361" w:type="dxa"/>
                              <w:vAlign w:val="bottom"/>
                            </w:tcPr>
                            <w:p w:rsidR="00E01FAD" w:rsidRPr="00064D4E" w:rsidRDefault="00E01FAD" w:rsidP="00DB0D03">
                              <w:pPr>
                                <w:spacing w:line="276" w:lineRule="auto"/>
                                <w:jc w:val="right"/>
                                <w:rPr>
                                  <w:sz w:val="22"/>
                                </w:rPr>
                              </w:pPr>
                              <w:r w:rsidRPr="00064D4E">
                                <w:rPr>
                                  <w:sz w:val="22"/>
                                </w:rPr>
                                <w:t>Signed on behalf of the governing body</w:t>
                              </w:r>
                            </w:p>
                          </w:tc>
                          <w:tc>
                            <w:tcPr>
                              <w:tcW w:w="3387" w:type="dxa"/>
                              <w:tcBorders>
                                <w:top w:val="single" w:sz="4" w:space="0" w:color="808080" w:themeColor="background1" w:themeShade="80"/>
                                <w:bottom w:val="single" w:sz="4" w:space="0" w:color="808080" w:themeColor="background1" w:themeShade="80"/>
                              </w:tcBorders>
                              <w:vAlign w:val="bottom"/>
                            </w:tcPr>
                            <w:p w:rsidR="00E01FAD" w:rsidRPr="00064D4E" w:rsidRDefault="00E01FAD" w:rsidP="00DB0D03">
                              <w:pPr>
                                <w:spacing w:line="276" w:lineRule="auto"/>
                                <w:jc w:val="right"/>
                                <w:rPr>
                                  <w:sz w:val="22"/>
                                </w:rPr>
                              </w:pPr>
                            </w:p>
                          </w:tc>
                        </w:tr>
                      </w:tbl>
                      <w:p w:rsidR="00E01FAD" w:rsidRPr="00064D4E" w:rsidRDefault="00E01FAD" w:rsidP="00305995">
                        <w:pPr>
                          <w:rPr>
                            <w:sz w:val="12"/>
                          </w:rPr>
                        </w:pPr>
                      </w:p>
                      <w:p w:rsidR="00E01FAD" w:rsidRDefault="00B34ED9" w:rsidP="001E7AF4">
                        <w:pPr>
                          <w:rPr>
                            <w:sz w:val="22"/>
                          </w:rPr>
                        </w:pPr>
                        <w:r>
                          <w:rPr>
                            <w:sz w:val="22"/>
                          </w:rPr>
                          <w:tab/>
                        </w:r>
                        <w:r>
                          <w:rPr>
                            <w:sz w:val="22"/>
                          </w:rPr>
                          <w:tab/>
                        </w:r>
                        <w:r>
                          <w:rPr>
                            <w:sz w:val="22"/>
                          </w:rPr>
                          <w:tab/>
                        </w:r>
                        <w:r>
                          <w:rPr>
                            <w:sz w:val="22"/>
                          </w:rPr>
                          <w:tab/>
                        </w:r>
                        <w:r>
                          <w:rPr>
                            <w:sz w:val="22"/>
                          </w:rPr>
                          <w:tab/>
                        </w:r>
                        <w:r>
                          <w:rPr>
                            <w:sz w:val="22"/>
                          </w:rPr>
                          <w:tab/>
                          <w:t>Chair of Governors</w:t>
                        </w:r>
                      </w:p>
                      <w:p w:rsidR="00E01FAD" w:rsidRDefault="00E01FAD" w:rsidP="001E7AF4">
                        <w:pPr>
                          <w:rPr>
                            <w:sz w:val="22"/>
                          </w:rPr>
                        </w:pPr>
                        <w:r w:rsidRPr="00064D4E">
                          <w:rPr>
                            <w:sz w:val="22"/>
                          </w:rPr>
                          <w:t>NB. This guidance will be retained for a period of 7 years from replacement.</w:t>
                        </w:r>
                      </w:p>
                      <w:p w:rsidR="005572B8" w:rsidRDefault="005572B8" w:rsidP="001E7AF4">
                        <w:pPr>
                          <w:rPr>
                            <w:sz w:val="22"/>
                          </w:rPr>
                        </w:pPr>
                      </w:p>
                      <w:p w:rsidR="005572B8" w:rsidRPr="00064D4E" w:rsidRDefault="00A30BA7" w:rsidP="001E7AF4">
                        <w:pPr>
                          <w:rPr>
                            <w:sz w:val="22"/>
                          </w:rPr>
                        </w:pPr>
                        <w:r>
                          <w:rPr>
                            <w:sz w:val="22"/>
                          </w:rPr>
                          <w:t>Updated</w:t>
                        </w:r>
                        <w:r w:rsidR="005572B8">
                          <w:rPr>
                            <w:sz w:val="22"/>
                          </w:rPr>
                          <w:t>: December 2017</w:t>
                        </w:r>
                      </w:p>
                      <w:p w:rsidR="00E01FAD" w:rsidRDefault="00E01FAD" w:rsidP="00305995"/>
                      <w:p w:rsidR="00E01FAD" w:rsidRPr="00077793" w:rsidRDefault="00E01FAD" w:rsidP="00D63739"/>
                    </w:txbxContent>
                  </v:textbox>
                </v:shape>
                <w10:wrap type="square"/>
              </v:group>
            </w:pict>
          </mc:Fallback>
        </mc:AlternateContent>
      </w:r>
      <w:r>
        <w:br w:type="page"/>
      </w:r>
    </w:p>
    <w:p w:rsidR="00CC36C0" w:rsidRDefault="00CC36C0">
      <w:pPr>
        <w:rPr>
          <w:sz w:val="36"/>
        </w:rPr>
      </w:pPr>
      <w:bookmarkStart w:id="2" w:name="_Toc456601332"/>
      <w:r w:rsidRPr="00CC36C0">
        <w:rPr>
          <w:sz w:val="36"/>
        </w:rPr>
        <w:lastRenderedPageBreak/>
        <w:t xml:space="preserve">Summary of key changes to </w:t>
      </w:r>
      <w:r>
        <w:rPr>
          <w:sz w:val="36"/>
        </w:rPr>
        <w:t>P</w:t>
      </w:r>
      <w:r w:rsidRPr="00CC36C0">
        <w:rPr>
          <w:sz w:val="36"/>
        </w:rPr>
        <w:t xml:space="preserve">ay </w:t>
      </w:r>
      <w:r>
        <w:rPr>
          <w:sz w:val="36"/>
        </w:rPr>
        <w:t>P</w:t>
      </w:r>
      <w:r w:rsidRPr="00CC36C0">
        <w:rPr>
          <w:sz w:val="36"/>
        </w:rPr>
        <w:t xml:space="preserve">olicy </w:t>
      </w:r>
      <w:r>
        <w:rPr>
          <w:sz w:val="36"/>
        </w:rPr>
        <w:t>D</w:t>
      </w:r>
      <w:r w:rsidRPr="00CC36C0">
        <w:rPr>
          <w:sz w:val="36"/>
        </w:rPr>
        <w:t xml:space="preserve">ecember 2017 </w:t>
      </w:r>
    </w:p>
    <w:p w:rsidR="00CC36C0" w:rsidRDefault="00CC36C0">
      <w:pPr>
        <w:rPr>
          <w:sz w:val="36"/>
        </w:rPr>
      </w:pPr>
    </w:p>
    <w:p w:rsidR="00CC36C0" w:rsidRDefault="00CC36C0" w:rsidP="00CC36C0">
      <w:pPr>
        <w:pStyle w:val="ListParagraph"/>
        <w:numPr>
          <w:ilvl w:val="0"/>
          <w:numId w:val="27"/>
        </w:numPr>
        <w:contextualSpacing w:val="0"/>
        <w:jc w:val="both"/>
      </w:pPr>
      <w:r>
        <w:t>All references to 2016 in the policy have been changed to 2017.</w:t>
      </w:r>
    </w:p>
    <w:p w:rsidR="00CC36C0" w:rsidRDefault="00CC36C0" w:rsidP="00CC36C0">
      <w:pPr>
        <w:pStyle w:val="ListParagraph"/>
        <w:numPr>
          <w:ilvl w:val="0"/>
          <w:numId w:val="27"/>
        </w:numPr>
        <w:contextualSpacing w:val="0"/>
        <w:jc w:val="both"/>
      </w:pPr>
      <w:r>
        <w:t>2% has been added to the whole of the main pay range and this is reflected in Appendix 2 on p17.</w:t>
      </w:r>
    </w:p>
    <w:p w:rsidR="00CC36C0" w:rsidRDefault="00CC36C0" w:rsidP="00CC36C0">
      <w:pPr>
        <w:pStyle w:val="ListParagraph"/>
        <w:numPr>
          <w:ilvl w:val="0"/>
          <w:numId w:val="27"/>
        </w:numPr>
        <w:contextualSpacing w:val="0"/>
        <w:jc w:val="both"/>
      </w:pPr>
      <w:r>
        <w:t>1% has been added to all the other pay scales and allowances and this is reflected in Appendix 2 on p17.</w:t>
      </w:r>
    </w:p>
    <w:p w:rsidR="00CC36C0" w:rsidRDefault="00CC36C0" w:rsidP="00CC36C0">
      <w:pPr>
        <w:pStyle w:val="ListParagraph"/>
        <w:ind w:left="1440"/>
        <w:contextualSpacing w:val="0"/>
        <w:jc w:val="both"/>
      </w:pPr>
    </w:p>
    <w:p w:rsidR="00CC36C0" w:rsidRDefault="00CC36C0" w:rsidP="00CC36C0">
      <w:pPr>
        <w:rPr>
          <w:sz w:val="36"/>
        </w:rPr>
      </w:pPr>
      <w:r>
        <w:rPr>
          <w:sz w:val="36"/>
        </w:rPr>
        <w:t xml:space="preserve"> </w:t>
      </w:r>
      <w:r>
        <w:rPr>
          <w:sz w:val="36"/>
        </w:rPr>
        <w:br w:type="page"/>
      </w:r>
    </w:p>
    <w:p w:rsidR="00DC3F53" w:rsidRPr="005A0E49" w:rsidRDefault="00DC3F53" w:rsidP="006D5099">
      <w:pPr>
        <w:rPr>
          <w:sz w:val="36"/>
        </w:rPr>
      </w:pPr>
      <w:r w:rsidRPr="005A0E49">
        <w:rPr>
          <w:sz w:val="36"/>
        </w:rPr>
        <w:t>Contents</w:t>
      </w:r>
      <w:bookmarkEnd w:id="2"/>
    </w:p>
    <w:p w:rsidR="00DC3F53" w:rsidRDefault="00DC3F53" w:rsidP="006D5099">
      <w:pPr>
        <w:rPr>
          <w:lang w:val="en-US" w:eastAsia="ja-JP"/>
        </w:rPr>
      </w:pPr>
    </w:p>
    <w:p w:rsidR="00EF0B8A" w:rsidRPr="004E63A0" w:rsidRDefault="004E63A0" w:rsidP="006D5099">
      <w:pPr>
        <w:rPr>
          <w:lang w:val="en-US" w:eastAsia="ja-JP"/>
        </w:rPr>
      </w:pPr>
      <w:r>
        <w:rPr>
          <w:lang w:val="en-US" w:eastAsia="ja-JP"/>
        </w:rPr>
        <w:t>Pay Policy</w:t>
      </w:r>
      <w:r w:rsidR="005A0E49">
        <w:rPr>
          <w:lang w:val="en-US" w:eastAsia="ja-JP"/>
        </w:rPr>
        <w:t xml:space="preserve"> for School Staff</w:t>
      </w:r>
    </w:p>
    <w:sdt>
      <w:sdtPr>
        <w:id w:val="153887703"/>
        <w:docPartObj>
          <w:docPartGallery w:val="Table of Contents"/>
          <w:docPartUnique/>
        </w:docPartObj>
      </w:sdtPr>
      <w:sdtEndPr>
        <w:rPr>
          <w:noProof/>
        </w:rPr>
      </w:sdtEndPr>
      <w:sdtContent>
        <w:p w:rsidR="008340AD" w:rsidRPr="00A64B24" w:rsidRDefault="008340AD" w:rsidP="006D5099">
          <w:pPr>
            <w:rPr>
              <w:lang w:val="en-US" w:eastAsia="ja-JP"/>
            </w:rPr>
          </w:pPr>
        </w:p>
        <w:p w:rsidR="00CC36C0" w:rsidRPr="00CC36C0" w:rsidRDefault="008340AD">
          <w:pPr>
            <w:pStyle w:val="TOC1"/>
            <w:rPr>
              <w:rFonts w:asciiTheme="minorHAnsi" w:hAnsiTheme="minorHAnsi" w:cstheme="minorBidi"/>
              <w:color w:val="auto"/>
              <w:szCs w:val="20"/>
              <w:lang w:eastAsia="en-GB"/>
            </w:rPr>
          </w:pPr>
          <w:r w:rsidRPr="00A64B24">
            <w:fldChar w:fldCharType="begin"/>
          </w:r>
          <w:r w:rsidRPr="00A64B24">
            <w:instrText xml:space="preserve"> TOC \o "1-3" \h \z \u </w:instrText>
          </w:r>
          <w:r w:rsidRPr="00A64B24">
            <w:fldChar w:fldCharType="separate"/>
          </w:r>
          <w:hyperlink w:anchor="_Toc502239763" w:history="1">
            <w:r w:rsidR="00CC36C0" w:rsidRPr="00CC36C0">
              <w:rPr>
                <w:rStyle w:val="Hyperlink"/>
                <w:szCs w:val="20"/>
              </w:rPr>
              <w:t>Introduction</w:t>
            </w:r>
            <w:r w:rsidR="00CC36C0" w:rsidRPr="00CC36C0">
              <w:rPr>
                <w:webHidden/>
                <w:szCs w:val="20"/>
              </w:rPr>
              <w:tab/>
            </w:r>
            <w:r w:rsidR="00CC36C0" w:rsidRPr="00CC36C0">
              <w:rPr>
                <w:webHidden/>
                <w:szCs w:val="20"/>
              </w:rPr>
              <w:fldChar w:fldCharType="begin"/>
            </w:r>
            <w:r w:rsidR="00CC36C0" w:rsidRPr="00CC36C0">
              <w:rPr>
                <w:webHidden/>
                <w:szCs w:val="20"/>
              </w:rPr>
              <w:instrText xml:space="preserve"> PAGEREF _Toc502239763 \h </w:instrText>
            </w:r>
            <w:r w:rsidR="00CC36C0" w:rsidRPr="00CC36C0">
              <w:rPr>
                <w:webHidden/>
                <w:szCs w:val="20"/>
              </w:rPr>
            </w:r>
            <w:r w:rsidR="00CC36C0" w:rsidRPr="00CC36C0">
              <w:rPr>
                <w:webHidden/>
                <w:szCs w:val="20"/>
              </w:rPr>
              <w:fldChar w:fldCharType="separate"/>
            </w:r>
            <w:r w:rsidR="00A6375E">
              <w:rPr>
                <w:webHidden/>
                <w:szCs w:val="20"/>
              </w:rPr>
              <w:t>5</w:t>
            </w:r>
            <w:r w:rsidR="00CC36C0" w:rsidRPr="00CC36C0">
              <w:rPr>
                <w:webHidden/>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64" w:history="1">
            <w:r w:rsidR="00CC36C0" w:rsidRPr="00CC36C0">
              <w:rPr>
                <w:rStyle w:val="Hyperlink"/>
                <w:noProof/>
                <w:sz w:val="20"/>
                <w:szCs w:val="20"/>
              </w:rPr>
              <w:t>Statement by the Governing Body/Trust Board/trust board</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_Toc502239764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5</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65" w:history="1">
            <w:r w:rsidR="00CC36C0" w:rsidRPr="00CC36C0">
              <w:rPr>
                <w:rStyle w:val="Hyperlink"/>
                <w:noProof/>
                <w:sz w:val="20"/>
                <w:szCs w:val="20"/>
              </w:rPr>
              <w:t>Statement of Intent</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_Toc502239765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5</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66" w:history="1">
            <w:r w:rsidR="00CC36C0" w:rsidRPr="00CC36C0">
              <w:rPr>
                <w:rStyle w:val="Hyperlink"/>
                <w:noProof/>
                <w:sz w:val="20"/>
                <w:szCs w:val="20"/>
              </w:rPr>
              <w:t>General Provisions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_Toc502239766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5</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67" w:history="1">
            <w:r w:rsidR="00CC36C0" w:rsidRPr="00CC36C0">
              <w:rPr>
                <w:rStyle w:val="Hyperlink"/>
                <w:noProof/>
                <w:sz w:val="20"/>
                <w:szCs w:val="20"/>
              </w:rPr>
              <w:t>Consultation</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_Toc502239767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6</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68" w:history="1">
            <w:r w:rsidR="00CC36C0" w:rsidRPr="00CC36C0">
              <w:rPr>
                <w:rStyle w:val="Hyperlink"/>
                <w:noProof/>
                <w:sz w:val="20"/>
                <w:szCs w:val="20"/>
              </w:rPr>
              <w:t>Budget</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_Toc502239768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6</w:t>
            </w:r>
            <w:r w:rsidR="00CC36C0" w:rsidRPr="00CC36C0">
              <w:rPr>
                <w:noProof/>
                <w:webHidden/>
                <w:sz w:val="20"/>
                <w:szCs w:val="20"/>
              </w:rPr>
              <w:fldChar w:fldCharType="end"/>
            </w:r>
          </w:hyperlink>
        </w:p>
        <w:p w:rsidR="00CC36C0" w:rsidRPr="00CC36C0" w:rsidRDefault="00A6375E">
          <w:pPr>
            <w:pStyle w:val="TOC1"/>
            <w:rPr>
              <w:rFonts w:asciiTheme="minorHAnsi" w:hAnsiTheme="minorHAnsi" w:cstheme="minorBidi"/>
              <w:color w:val="auto"/>
              <w:szCs w:val="20"/>
              <w:lang w:eastAsia="en-GB"/>
            </w:rPr>
          </w:pPr>
          <w:hyperlink w:anchor="_Toc502239769" w:history="1">
            <w:r w:rsidR="00CC36C0" w:rsidRPr="00CC36C0">
              <w:rPr>
                <w:rStyle w:val="Hyperlink"/>
                <w:szCs w:val="20"/>
              </w:rPr>
              <w:t>School Pay Policy</w:t>
            </w:r>
            <w:r w:rsidR="00CC36C0" w:rsidRPr="00CC36C0">
              <w:rPr>
                <w:webHidden/>
                <w:szCs w:val="20"/>
              </w:rPr>
              <w:tab/>
            </w:r>
            <w:r w:rsidR="00CC36C0" w:rsidRPr="00CC36C0">
              <w:rPr>
                <w:webHidden/>
                <w:szCs w:val="20"/>
              </w:rPr>
              <w:fldChar w:fldCharType="begin"/>
            </w:r>
            <w:r w:rsidR="00CC36C0" w:rsidRPr="00CC36C0">
              <w:rPr>
                <w:webHidden/>
                <w:szCs w:val="20"/>
              </w:rPr>
              <w:instrText xml:space="preserve"> PAGEREF _Toc502239769 \h </w:instrText>
            </w:r>
            <w:r w:rsidR="00CC36C0" w:rsidRPr="00CC36C0">
              <w:rPr>
                <w:webHidden/>
                <w:szCs w:val="20"/>
              </w:rPr>
            </w:r>
            <w:r w:rsidR="00CC36C0" w:rsidRPr="00CC36C0">
              <w:rPr>
                <w:webHidden/>
                <w:szCs w:val="20"/>
              </w:rPr>
              <w:fldChar w:fldCharType="separate"/>
            </w:r>
            <w:r>
              <w:rPr>
                <w:webHidden/>
                <w:szCs w:val="20"/>
              </w:rPr>
              <w:t>6</w:t>
            </w:r>
            <w:r w:rsidR="00CC36C0" w:rsidRPr="00CC36C0">
              <w:rPr>
                <w:webHidden/>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70" w:history="1">
            <w:r w:rsidR="00CC36C0" w:rsidRPr="00CC36C0">
              <w:rPr>
                <w:rStyle w:val="Hyperlink"/>
                <w:noProof/>
                <w:sz w:val="20"/>
                <w:szCs w:val="20"/>
              </w:rPr>
              <w:t>September 2017 Pay Award</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_Toc502239770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6</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71" w:history="1">
            <w:r w:rsidR="00CC36C0" w:rsidRPr="00CC36C0">
              <w:rPr>
                <w:rStyle w:val="Hyperlink"/>
                <w:noProof/>
                <w:sz w:val="20"/>
                <w:szCs w:val="20"/>
              </w:rPr>
              <w:t>Safeguarding Arrangements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_Toc502239771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7</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72" w:history="1">
            <w:r w:rsidR="00CC36C0" w:rsidRPr="00CC36C0">
              <w:rPr>
                <w:rStyle w:val="Hyperlink"/>
                <w:noProof/>
                <w:sz w:val="20"/>
                <w:szCs w:val="20"/>
              </w:rPr>
              <w:t>Salary Reviews (Teachers)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_Toc502239772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7</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73" w:history="1">
            <w:r w:rsidR="00CC36C0" w:rsidRPr="00CC36C0">
              <w:rPr>
                <w:rStyle w:val="Hyperlink"/>
                <w:noProof/>
                <w:sz w:val="20"/>
                <w:szCs w:val="20"/>
              </w:rPr>
              <w:t>Salary Reviews (Support Staff)</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_Toc502239773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7</w:t>
            </w:r>
            <w:r w:rsidR="00CC36C0" w:rsidRPr="00CC36C0">
              <w:rPr>
                <w:noProof/>
                <w:webHidden/>
                <w:sz w:val="20"/>
                <w:szCs w:val="20"/>
              </w:rPr>
              <w:fldChar w:fldCharType="end"/>
            </w:r>
          </w:hyperlink>
        </w:p>
        <w:p w:rsidR="00CC36C0" w:rsidRPr="00CC36C0" w:rsidRDefault="00A6375E">
          <w:pPr>
            <w:pStyle w:val="TOC1"/>
            <w:rPr>
              <w:rFonts w:asciiTheme="minorHAnsi" w:hAnsiTheme="minorHAnsi" w:cstheme="minorBidi"/>
              <w:color w:val="auto"/>
              <w:szCs w:val="20"/>
              <w:lang w:eastAsia="en-GB"/>
            </w:rPr>
          </w:pPr>
          <w:hyperlink w:anchor="_Toc502239774" w:history="1">
            <w:r w:rsidR="00CC36C0" w:rsidRPr="00CC36C0">
              <w:rPr>
                <w:rStyle w:val="Hyperlink"/>
                <w:szCs w:val="20"/>
              </w:rPr>
              <w:t>Determining Pay on Appointment</w:t>
            </w:r>
            <w:r w:rsidR="00CC36C0" w:rsidRPr="00CC36C0">
              <w:rPr>
                <w:webHidden/>
                <w:szCs w:val="20"/>
              </w:rPr>
              <w:tab/>
            </w:r>
            <w:r w:rsidR="00CC36C0" w:rsidRPr="00CC36C0">
              <w:rPr>
                <w:webHidden/>
                <w:szCs w:val="20"/>
              </w:rPr>
              <w:fldChar w:fldCharType="begin"/>
            </w:r>
            <w:r w:rsidR="00CC36C0" w:rsidRPr="00CC36C0">
              <w:rPr>
                <w:webHidden/>
                <w:szCs w:val="20"/>
              </w:rPr>
              <w:instrText xml:space="preserve"> PAGEREF _Toc502239774 \h </w:instrText>
            </w:r>
            <w:r w:rsidR="00CC36C0" w:rsidRPr="00CC36C0">
              <w:rPr>
                <w:webHidden/>
                <w:szCs w:val="20"/>
              </w:rPr>
            </w:r>
            <w:r w:rsidR="00CC36C0" w:rsidRPr="00CC36C0">
              <w:rPr>
                <w:webHidden/>
                <w:szCs w:val="20"/>
              </w:rPr>
              <w:fldChar w:fldCharType="separate"/>
            </w:r>
            <w:r>
              <w:rPr>
                <w:webHidden/>
                <w:szCs w:val="20"/>
              </w:rPr>
              <w:t>7</w:t>
            </w:r>
            <w:r w:rsidR="00CC36C0" w:rsidRPr="00CC36C0">
              <w:rPr>
                <w:webHidden/>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75" w:history="1">
            <w:r w:rsidR="00CC36C0" w:rsidRPr="00CC36C0">
              <w:rPr>
                <w:rStyle w:val="Hyperlink"/>
                <w:noProof/>
                <w:sz w:val="20"/>
                <w:szCs w:val="20"/>
              </w:rPr>
              <w:t>Classroom teacher posts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_Toc502239775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8</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76" w:history="1">
            <w:r w:rsidR="00CC36C0" w:rsidRPr="00CC36C0">
              <w:rPr>
                <w:rStyle w:val="Hyperlink"/>
                <w:noProof/>
                <w:sz w:val="20"/>
                <w:szCs w:val="20"/>
              </w:rPr>
              <w:t>Leading Practitioner teacher posts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_Toc502239776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8</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77" w:history="1">
            <w:r w:rsidR="00CC36C0" w:rsidRPr="00CC36C0">
              <w:rPr>
                <w:rStyle w:val="Hyperlink"/>
                <w:noProof/>
                <w:sz w:val="20"/>
                <w:szCs w:val="20"/>
              </w:rPr>
              <w:t>Unqualified teachers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_Toc502239777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8</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78" w:history="1">
            <w:r w:rsidR="00CC36C0" w:rsidRPr="00CC36C0">
              <w:rPr>
                <w:rStyle w:val="Hyperlink"/>
                <w:noProof/>
                <w:sz w:val="20"/>
                <w:szCs w:val="20"/>
              </w:rPr>
              <w:t>Leadership teacher posts (Head Teacher, Deputy &amp; Assistant Head Teachers)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_Toc502239778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8</w:t>
            </w:r>
            <w:r w:rsidR="00CC36C0" w:rsidRPr="00CC36C0">
              <w:rPr>
                <w:noProof/>
                <w:webHidden/>
                <w:sz w:val="20"/>
                <w:szCs w:val="20"/>
              </w:rPr>
              <w:fldChar w:fldCharType="end"/>
            </w:r>
          </w:hyperlink>
        </w:p>
        <w:p w:rsidR="00CC36C0" w:rsidRPr="00CC36C0" w:rsidRDefault="00A6375E">
          <w:pPr>
            <w:pStyle w:val="TOC1"/>
            <w:rPr>
              <w:rFonts w:asciiTheme="minorHAnsi" w:hAnsiTheme="minorHAnsi" w:cstheme="minorBidi"/>
              <w:color w:val="auto"/>
              <w:szCs w:val="20"/>
              <w:lang w:eastAsia="en-GB"/>
            </w:rPr>
          </w:pPr>
          <w:hyperlink w:anchor="_Toc502239779" w:history="1">
            <w:r w:rsidR="00CC36C0" w:rsidRPr="00CC36C0">
              <w:rPr>
                <w:rStyle w:val="Hyperlink"/>
                <w:szCs w:val="20"/>
              </w:rPr>
              <w:t>Pay Progression</w:t>
            </w:r>
            <w:r w:rsidR="00CC36C0" w:rsidRPr="00CC36C0">
              <w:rPr>
                <w:webHidden/>
                <w:szCs w:val="20"/>
              </w:rPr>
              <w:tab/>
            </w:r>
            <w:r w:rsidR="00CC36C0" w:rsidRPr="00CC36C0">
              <w:rPr>
                <w:webHidden/>
                <w:szCs w:val="20"/>
              </w:rPr>
              <w:fldChar w:fldCharType="begin"/>
            </w:r>
            <w:r w:rsidR="00CC36C0" w:rsidRPr="00CC36C0">
              <w:rPr>
                <w:webHidden/>
                <w:szCs w:val="20"/>
              </w:rPr>
              <w:instrText xml:space="preserve"> PAGEREF _Toc502239779 \h </w:instrText>
            </w:r>
            <w:r w:rsidR="00CC36C0" w:rsidRPr="00CC36C0">
              <w:rPr>
                <w:webHidden/>
                <w:szCs w:val="20"/>
              </w:rPr>
            </w:r>
            <w:r w:rsidR="00CC36C0" w:rsidRPr="00CC36C0">
              <w:rPr>
                <w:webHidden/>
                <w:szCs w:val="20"/>
              </w:rPr>
              <w:fldChar w:fldCharType="separate"/>
            </w:r>
            <w:r>
              <w:rPr>
                <w:webHidden/>
                <w:szCs w:val="20"/>
              </w:rPr>
              <w:t>9</w:t>
            </w:r>
            <w:r w:rsidR="00CC36C0" w:rsidRPr="00CC36C0">
              <w:rPr>
                <w:webHidden/>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80" w:history="1">
            <w:r w:rsidR="00CC36C0" w:rsidRPr="00CC36C0">
              <w:rPr>
                <w:rStyle w:val="Hyperlink"/>
                <w:noProof/>
                <w:sz w:val="20"/>
                <w:szCs w:val="20"/>
              </w:rPr>
              <w:t>Pay Progression based on Performance</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_Toc502239780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9</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81" w:history="1">
            <w:r w:rsidR="00CC36C0" w:rsidRPr="00CC36C0">
              <w:rPr>
                <w:rStyle w:val="Hyperlink"/>
                <w:noProof/>
                <w:sz w:val="20"/>
                <w:szCs w:val="20"/>
              </w:rPr>
              <w:t>Review &amp; Appeals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_Toc502239781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10</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82" w:history="1">
            <w:r w:rsidR="00CC36C0" w:rsidRPr="00CC36C0">
              <w:rPr>
                <w:rStyle w:val="Hyperlink"/>
                <w:noProof/>
                <w:sz w:val="20"/>
                <w:szCs w:val="20"/>
              </w:rPr>
              <w:t>Teachers on the Main Pay Range</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_Toc502239782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10</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83" w:history="1">
            <w:r w:rsidR="00CC36C0" w:rsidRPr="00CC36C0">
              <w:rPr>
                <w:rStyle w:val="Hyperlink"/>
                <w:noProof/>
                <w:sz w:val="20"/>
                <w:szCs w:val="20"/>
              </w:rPr>
              <w:t>Teachers on the Upper Pay Range</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_Toc502239783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10</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84" w:history="1">
            <w:r w:rsidR="00CC36C0" w:rsidRPr="00CC36C0">
              <w:rPr>
                <w:rStyle w:val="Hyperlink"/>
                <w:noProof/>
                <w:sz w:val="20"/>
                <w:szCs w:val="20"/>
              </w:rPr>
              <w:t>Applications for the Upper Pay Range</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_Toc502239784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10</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85" w:history="1">
            <w:r w:rsidR="00CC36C0" w:rsidRPr="00CC36C0">
              <w:rPr>
                <w:rStyle w:val="Hyperlink"/>
                <w:noProof/>
                <w:sz w:val="20"/>
                <w:szCs w:val="20"/>
              </w:rPr>
              <w:t>Unqualified Teachers Pay Range</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_Toc502239785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11</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86" w:history="1">
            <w:r w:rsidR="00CC36C0" w:rsidRPr="00CC36C0">
              <w:rPr>
                <w:rStyle w:val="Hyperlink"/>
                <w:noProof/>
                <w:sz w:val="20"/>
                <w:szCs w:val="20"/>
              </w:rPr>
              <w:t>Leading Practitioners Pay Range</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_Toc502239786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11</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87" w:history="1">
            <w:r w:rsidR="00CC36C0" w:rsidRPr="00CC36C0">
              <w:rPr>
                <w:rStyle w:val="Hyperlink"/>
                <w:noProof/>
                <w:sz w:val="20"/>
                <w:szCs w:val="20"/>
              </w:rPr>
              <w:t>Leadership Group Pay</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_Toc502239787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12</w:t>
            </w:r>
            <w:r w:rsidR="00CC36C0" w:rsidRPr="00CC36C0">
              <w:rPr>
                <w:noProof/>
                <w:webHidden/>
                <w:sz w:val="20"/>
                <w:szCs w:val="20"/>
              </w:rPr>
              <w:fldChar w:fldCharType="end"/>
            </w:r>
          </w:hyperlink>
        </w:p>
        <w:p w:rsidR="00CC36C0" w:rsidRPr="00CC36C0" w:rsidRDefault="00A6375E">
          <w:pPr>
            <w:pStyle w:val="TOC1"/>
            <w:rPr>
              <w:rFonts w:asciiTheme="minorHAnsi" w:hAnsiTheme="minorHAnsi" w:cstheme="minorBidi"/>
              <w:color w:val="auto"/>
              <w:szCs w:val="20"/>
              <w:lang w:eastAsia="en-GB"/>
            </w:rPr>
          </w:pPr>
          <w:hyperlink w:anchor="_Toc502239788" w:history="1">
            <w:r w:rsidR="00CC36C0" w:rsidRPr="00CC36C0">
              <w:rPr>
                <w:rStyle w:val="Hyperlink"/>
                <w:szCs w:val="20"/>
              </w:rPr>
              <w:t>Discretionary Payments</w:t>
            </w:r>
            <w:r w:rsidR="00CC36C0" w:rsidRPr="00CC36C0">
              <w:rPr>
                <w:webHidden/>
                <w:szCs w:val="20"/>
              </w:rPr>
              <w:tab/>
            </w:r>
            <w:r w:rsidR="00CC36C0" w:rsidRPr="00CC36C0">
              <w:rPr>
                <w:webHidden/>
                <w:szCs w:val="20"/>
              </w:rPr>
              <w:fldChar w:fldCharType="begin"/>
            </w:r>
            <w:r w:rsidR="00CC36C0" w:rsidRPr="00CC36C0">
              <w:rPr>
                <w:webHidden/>
                <w:szCs w:val="20"/>
              </w:rPr>
              <w:instrText xml:space="preserve"> PAGEREF _Toc502239788 \h </w:instrText>
            </w:r>
            <w:r w:rsidR="00CC36C0" w:rsidRPr="00CC36C0">
              <w:rPr>
                <w:webHidden/>
                <w:szCs w:val="20"/>
              </w:rPr>
            </w:r>
            <w:r w:rsidR="00CC36C0" w:rsidRPr="00CC36C0">
              <w:rPr>
                <w:webHidden/>
                <w:szCs w:val="20"/>
              </w:rPr>
              <w:fldChar w:fldCharType="separate"/>
            </w:r>
            <w:r>
              <w:rPr>
                <w:webHidden/>
                <w:szCs w:val="20"/>
              </w:rPr>
              <w:t>12</w:t>
            </w:r>
            <w:r w:rsidR="00CC36C0" w:rsidRPr="00CC36C0">
              <w:rPr>
                <w:webHidden/>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89" w:history="1">
            <w:r w:rsidR="00CC36C0" w:rsidRPr="00CC36C0">
              <w:rPr>
                <w:rStyle w:val="Hyperlink"/>
                <w:noProof/>
                <w:sz w:val="20"/>
                <w:szCs w:val="20"/>
              </w:rPr>
              <w:t>Discretionary Payments (on appointment)</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_Toc502239789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12</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90" w:history="1">
            <w:r w:rsidR="00CC36C0" w:rsidRPr="00CC36C0">
              <w:rPr>
                <w:rStyle w:val="Hyperlink"/>
                <w:noProof/>
                <w:sz w:val="20"/>
                <w:szCs w:val="20"/>
              </w:rPr>
              <w:t>Discretionary Payments (current employees)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_Toc502239790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12</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91" w:history="1">
            <w:r w:rsidR="00CC36C0" w:rsidRPr="00CC36C0">
              <w:rPr>
                <w:rStyle w:val="Hyperlink"/>
                <w:noProof/>
                <w:sz w:val="20"/>
                <w:szCs w:val="20"/>
              </w:rPr>
              <w:t>Leading Practitioner</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_Toc502239791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12</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92" w:history="1">
            <w:r w:rsidR="00CC36C0" w:rsidRPr="00CC36C0">
              <w:rPr>
                <w:rStyle w:val="Hyperlink"/>
                <w:noProof/>
                <w:sz w:val="20"/>
                <w:szCs w:val="20"/>
              </w:rPr>
              <w:t>Unqualified Teachers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_Toc502239792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12</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93" w:history="1">
            <w:r w:rsidR="00CC36C0" w:rsidRPr="00CC36C0">
              <w:rPr>
                <w:rStyle w:val="Hyperlink"/>
                <w:noProof/>
                <w:sz w:val="20"/>
                <w:szCs w:val="20"/>
              </w:rPr>
              <w:t>Discretionary Payments to Existing Head Teachers and Other Members of the Leadership Team</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_Toc502239793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13</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94" w:history="1">
            <w:r w:rsidR="00CC36C0" w:rsidRPr="00CC36C0">
              <w:rPr>
                <w:rStyle w:val="Hyperlink"/>
                <w:noProof/>
                <w:sz w:val="20"/>
                <w:szCs w:val="20"/>
              </w:rPr>
              <w:t>Teaching and Learning Responsibility Payments (TLRs)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_Toc502239794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13</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95" w:history="1">
            <w:r w:rsidR="00CC36C0" w:rsidRPr="00CC36C0">
              <w:rPr>
                <w:rStyle w:val="Hyperlink"/>
                <w:noProof/>
                <w:sz w:val="20"/>
                <w:szCs w:val="20"/>
              </w:rPr>
              <w:t>Special Needs Allowance</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_Toc502239795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13</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96" w:history="1">
            <w:r w:rsidR="00CC36C0" w:rsidRPr="00CC36C0">
              <w:rPr>
                <w:rStyle w:val="Hyperlink"/>
                <w:noProof/>
                <w:sz w:val="20"/>
                <w:szCs w:val="20"/>
              </w:rPr>
              <w:t>Acting Allowances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_Toc502239796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13</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97" w:history="1">
            <w:r w:rsidR="00CC36C0" w:rsidRPr="00CC36C0">
              <w:rPr>
                <w:rStyle w:val="Hyperlink"/>
                <w:noProof/>
                <w:sz w:val="20"/>
                <w:szCs w:val="20"/>
              </w:rPr>
              <w:t>Sickness &amp; Maternity Leave</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_Toc502239797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13</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98" w:history="1">
            <w:r w:rsidR="00CC36C0" w:rsidRPr="00CC36C0">
              <w:rPr>
                <w:rStyle w:val="Hyperlink"/>
                <w:noProof/>
                <w:sz w:val="20"/>
                <w:szCs w:val="20"/>
              </w:rPr>
              <w:t>Other Discretionary Payments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_Toc502239798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14</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799" w:history="1">
            <w:r w:rsidR="00CC36C0" w:rsidRPr="00CC36C0">
              <w:rPr>
                <w:rStyle w:val="Hyperlink"/>
                <w:noProof/>
                <w:sz w:val="20"/>
                <w:szCs w:val="20"/>
              </w:rPr>
              <w:t>Honoraria</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_Toc502239799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14</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800" w:history="1">
            <w:r w:rsidR="00CC36C0" w:rsidRPr="00CC36C0">
              <w:rPr>
                <w:rStyle w:val="Hyperlink"/>
                <w:noProof/>
                <w:sz w:val="20"/>
                <w:szCs w:val="20"/>
              </w:rPr>
              <w:t>Recruitment and retention incentives and benefits</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_Toc502239800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14</w:t>
            </w:r>
            <w:r w:rsidR="00CC36C0" w:rsidRPr="00CC36C0">
              <w:rPr>
                <w:noProof/>
                <w:webHidden/>
                <w:sz w:val="20"/>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801" w:history="1">
            <w:r w:rsidR="00CC36C0" w:rsidRPr="00CC36C0">
              <w:rPr>
                <w:rStyle w:val="Hyperlink"/>
                <w:rFonts w:eastAsiaTheme="majorEastAsia"/>
                <w:bCs/>
                <w:noProof/>
                <w:sz w:val="20"/>
                <w:szCs w:val="20"/>
              </w:rPr>
              <w:t>Appendix 1</w:t>
            </w:r>
            <w:r w:rsidR="00CC36C0" w:rsidRPr="00CC36C0">
              <w:rPr>
                <w:rStyle w:val="Hyperlink"/>
                <w:noProof/>
                <w:sz w:val="20"/>
                <w:szCs w:val="20"/>
              </w:rPr>
              <w:t xml:space="preserve"> Annual Statement of a Teacher’s Salary (including Headteacher) September 2017</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_Toc502239801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15</w:t>
            </w:r>
            <w:r w:rsidR="00CC36C0" w:rsidRPr="00CC36C0">
              <w:rPr>
                <w:noProof/>
                <w:webHidden/>
                <w:sz w:val="20"/>
                <w:szCs w:val="20"/>
              </w:rPr>
              <w:fldChar w:fldCharType="end"/>
            </w:r>
          </w:hyperlink>
        </w:p>
        <w:p w:rsidR="00CC36C0" w:rsidRPr="00CC36C0" w:rsidRDefault="00A6375E">
          <w:pPr>
            <w:pStyle w:val="TOC1"/>
            <w:rPr>
              <w:rFonts w:asciiTheme="minorHAnsi" w:hAnsiTheme="minorHAnsi" w:cstheme="minorBidi"/>
              <w:color w:val="auto"/>
              <w:szCs w:val="20"/>
              <w:lang w:eastAsia="en-GB"/>
            </w:rPr>
          </w:pPr>
          <w:hyperlink w:anchor="_Toc502239802" w:history="1">
            <w:r w:rsidR="00CC36C0" w:rsidRPr="00CC36C0">
              <w:rPr>
                <w:rStyle w:val="Hyperlink"/>
                <w:szCs w:val="20"/>
              </w:rPr>
              <w:t>Appendix 2</w:t>
            </w:r>
            <w:r w:rsidR="00CC36C0" w:rsidRPr="00CC36C0">
              <w:rPr>
                <w:webHidden/>
                <w:szCs w:val="20"/>
              </w:rPr>
              <w:tab/>
            </w:r>
            <w:r w:rsidR="00CC36C0" w:rsidRPr="00CC36C0">
              <w:rPr>
                <w:webHidden/>
                <w:szCs w:val="20"/>
              </w:rPr>
              <w:fldChar w:fldCharType="begin"/>
            </w:r>
            <w:r w:rsidR="00CC36C0" w:rsidRPr="00CC36C0">
              <w:rPr>
                <w:webHidden/>
                <w:szCs w:val="20"/>
              </w:rPr>
              <w:instrText xml:space="preserve"> PAGEREF _Toc502239802 \h </w:instrText>
            </w:r>
            <w:r w:rsidR="00CC36C0" w:rsidRPr="00CC36C0">
              <w:rPr>
                <w:webHidden/>
                <w:szCs w:val="20"/>
              </w:rPr>
            </w:r>
            <w:r w:rsidR="00CC36C0" w:rsidRPr="00CC36C0">
              <w:rPr>
                <w:webHidden/>
                <w:szCs w:val="20"/>
              </w:rPr>
              <w:fldChar w:fldCharType="separate"/>
            </w:r>
            <w:r>
              <w:rPr>
                <w:webHidden/>
                <w:szCs w:val="20"/>
              </w:rPr>
              <w:t>17</w:t>
            </w:r>
            <w:r w:rsidR="00CC36C0" w:rsidRPr="00CC36C0">
              <w:rPr>
                <w:webHidden/>
                <w:szCs w:val="20"/>
              </w:rPr>
              <w:fldChar w:fldCharType="end"/>
            </w:r>
          </w:hyperlink>
        </w:p>
        <w:p w:rsidR="00CC36C0" w:rsidRPr="00CC36C0" w:rsidRDefault="00A6375E">
          <w:pPr>
            <w:pStyle w:val="TOC1"/>
            <w:rPr>
              <w:rFonts w:asciiTheme="minorHAnsi" w:hAnsiTheme="minorHAnsi" w:cstheme="minorBidi"/>
              <w:color w:val="auto"/>
              <w:szCs w:val="20"/>
              <w:lang w:eastAsia="en-GB"/>
            </w:rPr>
          </w:pPr>
          <w:hyperlink w:anchor="_Toc502239803" w:history="1">
            <w:r w:rsidR="00CC36C0" w:rsidRPr="00CC36C0">
              <w:rPr>
                <w:rStyle w:val="Hyperlink"/>
                <w:szCs w:val="20"/>
              </w:rPr>
              <w:t>Appendix 3 Spinal Column Points</w:t>
            </w:r>
            <w:r w:rsidR="00CC36C0" w:rsidRPr="00CC36C0">
              <w:rPr>
                <w:webHidden/>
                <w:szCs w:val="20"/>
              </w:rPr>
              <w:tab/>
            </w:r>
            <w:r w:rsidR="00CC36C0" w:rsidRPr="00CC36C0">
              <w:rPr>
                <w:webHidden/>
                <w:szCs w:val="20"/>
              </w:rPr>
              <w:fldChar w:fldCharType="begin"/>
            </w:r>
            <w:r w:rsidR="00CC36C0" w:rsidRPr="00CC36C0">
              <w:rPr>
                <w:webHidden/>
                <w:szCs w:val="20"/>
              </w:rPr>
              <w:instrText xml:space="preserve"> PAGEREF _Toc502239803 \h </w:instrText>
            </w:r>
            <w:r w:rsidR="00CC36C0" w:rsidRPr="00CC36C0">
              <w:rPr>
                <w:webHidden/>
                <w:szCs w:val="20"/>
              </w:rPr>
            </w:r>
            <w:r w:rsidR="00CC36C0" w:rsidRPr="00CC36C0">
              <w:rPr>
                <w:webHidden/>
                <w:szCs w:val="20"/>
              </w:rPr>
              <w:fldChar w:fldCharType="separate"/>
            </w:r>
            <w:r>
              <w:rPr>
                <w:webHidden/>
                <w:szCs w:val="20"/>
              </w:rPr>
              <w:t>18</w:t>
            </w:r>
            <w:r w:rsidR="00CC36C0" w:rsidRPr="00CC36C0">
              <w:rPr>
                <w:webHidden/>
                <w:szCs w:val="20"/>
              </w:rPr>
              <w:fldChar w:fldCharType="end"/>
            </w:r>
          </w:hyperlink>
        </w:p>
        <w:p w:rsidR="00CC36C0" w:rsidRPr="00CC36C0" w:rsidRDefault="00A6375E">
          <w:pPr>
            <w:pStyle w:val="TOC1"/>
            <w:rPr>
              <w:rFonts w:asciiTheme="minorHAnsi" w:hAnsiTheme="minorHAnsi" w:cstheme="minorBidi"/>
              <w:color w:val="auto"/>
              <w:szCs w:val="20"/>
              <w:lang w:eastAsia="en-GB"/>
            </w:rPr>
          </w:pPr>
          <w:hyperlink w:anchor="_Toc502239804" w:history="1">
            <w:r w:rsidR="00CC36C0" w:rsidRPr="00CC36C0">
              <w:rPr>
                <w:rStyle w:val="Hyperlink"/>
                <w:szCs w:val="20"/>
              </w:rPr>
              <w:t>Appendix 4</w:t>
            </w:r>
            <w:r w:rsidR="00CC36C0" w:rsidRPr="00CC36C0">
              <w:rPr>
                <w:webHidden/>
                <w:szCs w:val="20"/>
              </w:rPr>
              <w:tab/>
            </w:r>
            <w:r w:rsidR="00CC36C0" w:rsidRPr="00CC36C0">
              <w:rPr>
                <w:webHidden/>
                <w:szCs w:val="20"/>
              </w:rPr>
              <w:fldChar w:fldCharType="begin"/>
            </w:r>
            <w:r w:rsidR="00CC36C0" w:rsidRPr="00CC36C0">
              <w:rPr>
                <w:webHidden/>
                <w:szCs w:val="20"/>
              </w:rPr>
              <w:instrText xml:space="preserve"> PAGEREF _Toc502239804 \h </w:instrText>
            </w:r>
            <w:r w:rsidR="00CC36C0" w:rsidRPr="00CC36C0">
              <w:rPr>
                <w:webHidden/>
                <w:szCs w:val="20"/>
              </w:rPr>
            </w:r>
            <w:r w:rsidR="00CC36C0" w:rsidRPr="00CC36C0">
              <w:rPr>
                <w:webHidden/>
                <w:szCs w:val="20"/>
              </w:rPr>
              <w:fldChar w:fldCharType="separate"/>
            </w:r>
            <w:r>
              <w:rPr>
                <w:webHidden/>
                <w:szCs w:val="20"/>
              </w:rPr>
              <w:t>19</w:t>
            </w:r>
            <w:r w:rsidR="00CC36C0" w:rsidRPr="00CC36C0">
              <w:rPr>
                <w:webHidden/>
                <w:szCs w:val="20"/>
              </w:rPr>
              <w:fldChar w:fldCharType="end"/>
            </w:r>
          </w:hyperlink>
        </w:p>
        <w:p w:rsidR="00CC36C0" w:rsidRPr="00CC36C0" w:rsidRDefault="00A6375E">
          <w:pPr>
            <w:pStyle w:val="TOC2"/>
            <w:rPr>
              <w:rFonts w:asciiTheme="minorHAnsi" w:hAnsiTheme="minorHAnsi" w:cstheme="minorBidi"/>
              <w:noProof/>
              <w:color w:val="auto"/>
              <w:sz w:val="20"/>
              <w:szCs w:val="20"/>
              <w:lang w:eastAsia="en-GB"/>
            </w:rPr>
          </w:pPr>
          <w:hyperlink w:anchor="_Toc502239805" w:history="1">
            <w:r w:rsidR="00CC36C0" w:rsidRPr="00CC36C0">
              <w:rPr>
                <w:rStyle w:val="Hyperlink"/>
                <w:noProof/>
                <w:sz w:val="20"/>
                <w:szCs w:val="20"/>
              </w:rPr>
              <w:t>BMDC</w:t>
            </w:r>
            <w:r w:rsidR="00CC36C0" w:rsidRPr="00CC36C0">
              <w:rPr>
                <w:rStyle w:val="Hyperlink"/>
                <w:bCs/>
                <w:noProof/>
                <w:sz w:val="20"/>
                <w:szCs w:val="20"/>
              </w:rPr>
              <w:t xml:space="preserve"> Locally Agreed Grades </w:t>
            </w:r>
            <w:r w:rsidR="00CC36C0" w:rsidRPr="00CC36C0">
              <w:rPr>
                <w:rStyle w:val="Hyperlink"/>
                <w:noProof/>
                <w:sz w:val="20"/>
                <w:szCs w:val="20"/>
              </w:rPr>
              <w:t>for staff above the level of Principal Officer Range (posts formerly designated as APT&amp;C)</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_Toc502239805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19</w:t>
            </w:r>
            <w:r w:rsidR="00CC36C0" w:rsidRPr="00CC36C0">
              <w:rPr>
                <w:noProof/>
                <w:webHidden/>
                <w:sz w:val="20"/>
                <w:szCs w:val="20"/>
              </w:rPr>
              <w:fldChar w:fldCharType="end"/>
            </w:r>
          </w:hyperlink>
        </w:p>
        <w:p w:rsidR="00CC36C0" w:rsidRPr="00CC36C0" w:rsidRDefault="00A6375E">
          <w:pPr>
            <w:pStyle w:val="TOC1"/>
            <w:rPr>
              <w:rFonts w:asciiTheme="minorHAnsi" w:hAnsiTheme="minorHAnsi" w:cstheme="minorBidi"/>
              <w:color w:val="auto"/>
              <w:szCs w:val="20"/>
              <w:lang w:eastAsia="en-GB"/>
            </w:rPr>
          </w:pPr>
          <w:hyperlink w:anchor="_Toc502239806" w:history="1">
            <w:r w:rsidR="00CC36C0" w:rsidRPr="00CC36C0">
              <w:rPr>
                <w:rStyle w:val="Hyperlink"/>
                <w:szCs w:val="20"/>
              </w:rPr>
              <w:t>Appendix 5</w:t>
            </w:r>
            <w:r w:rsidR="00CC36C0" w:rsidRPr="00CC36C0">
              <w:rPr>
                <w:webHidden/>
                <w:szCs w:val="20"/>
              </w:rPr>
              <w:tab/>
            </w:r>
            <w:r w:rsidR="00CC36C0" w:rsidRPr="00CC36C0">
              <w:rPr>
                <w:webHidden/>
                <w:szCs w:val="20"/>
              </w:rPr>
              <w:fldChar w:fldCharType="begin"/>
            </w:r>
            <w:r w:rsidR="00CC36C0" w:rsidRPr="00CC36C0">
              <w:rPr>
                <w:webHidden/>
                <w:szCs w:val="20"/>
              </w:rPr>
              <w:instrText xml:space="preserve"> PAGEREF _Toc502239806 \h </w:instrText>
            </w:r>
            <w:r w:rsidR="00CC36C0" w:rsidRPr="00CC36C0">
              <w:rPr>
                <w:webHidden/>
                <w:szCs w:val="20"/>
              </w:rPr>
            </w:r>
            <w:r w:rsidR="00CC36C0" w:rsidRPr="00CC36C0">
              <w:rPr>
                <w:webHidden/>
                <w:szCs w:val="20"/>
              </w:rPr>
              <w:fldChar w:fldCharType="separate"/>
            </w:r>
            <w:r>
              <w:rPr>
                <w:webHidden/>
                <w:szCs w:val="20"/>
              </w:rPr>
              <w:t>20</w:t>
            </w:r>
            <w:r w:rsidR="00CC36C0" w:rsidRPr="00CC36C0">
              <w:rPr>
                <w:webHidden/>
                <w:szCs w:val="20"/>
              </w:rPr>
              <w:fldChar w:fldCharType="end"/>
            </w:r>
          </w:hyperlink>
        </w:p>
        <w:p w:rsidR="00CC36C0" w:rsidRDefault="00A6375E">
          <w:pPr>
            <w:pStyle w:val="TOC2"/>
            <w:rPr>
              <w:rFonts w:asciiTheme="minorHAnsi" w:hAnsiTheme="minorHAnsi" w:cstheme="minorBidi"/>
              <w:noProof/>
              <w:color w:val="auto"/>
              <w:sz w:val="22"/>
              <w:szCs w:val="22"/>
              <w:lang w:eastAsia="en-GB"/>
            </w:rPr>
          </w:pPr>
          <w:hyperlink w:anchor="_Toc502239807" w:history="1">
            <w:r w:rsidR="00CC36C0" w:rsidRPr="00CC36C0">
              <w:rPr>
                <w:rStyle w:val="Hyperlink"/>
                <w:noProof/>
                <w:sz w:val="20"/>
                <w:szCs w:val="20"/>
              </w:rPr>
              <w:t>Addendum wording for Pay Policy – Bradford Living Wage Allowance</w:t>
            </w:r>
            <w:r w:rsidR="00CC36C0" w:rsidRPr="00CC36C0">
              <w:rPr>
                <w:noProof/>
                <w:webHidden/>
                <w:sz w:val="20"/>
                <w:szCs w:val="20"/>
              </w:rPr>
              <w:tab/>
            </w:r>
            <w:r w:rsidR="00CC36C0" w:rsidRPr="00CC36C0">
              <w:rPr>
                <w:noProof/>
                <w:webHidden/>
                <w:sz w:val="20"/>
                <w:szCs w:val="20"/>
              </w:rPr>
              <w:fldChar w:fldCharType="begin"/>
            </w:r>
            <w:r w:rsidR="00CC36C0" w:rsidRPr="00CC36C0">
              <w:rPr>
                <w:noProof/>
                <w:webHidden/>
                <w:sz w:val="20"/>
                <w:szCs w:val="20"/>
              </w:rPr>
              <w:instrText xml:space="preserve"> PAGEREF _Toc502239807 \h </w:instrText>
            </w:r>
            <w:r w:rsidR="00CC36C0" w:rsidRPr="00CC36C0">
              <w:rPr>
                <w:noProof/>
                <w:webHidden/>
                <w:sz w:val="20"/>
                <w:szCs w:val="20"/>
              </w:rPr>
            </w:r>
            <w:r w:rsidR="00CC36C0" w:rsidRPr="00CC36C0">
              <w:rPr>
                <w:noProof/>
                <w:webHidden/>
                <w:sz w:val="20"/>
                <w:szCs w:val="20"/>
              </w:rPr>
              <w:fldChar w:fldCharType="separate"/>
            </w:r>
            <w:r>
              <w:rPr>
                <w:noProof/>
                <w:webHidden/>
                <w:sz w:val="20"/>
                <w:szCs w:val="20"/>
              </w:rPr>
              <w:t>20</w:t>
            </w:r>
            <w:r w:rsidR="00CC36C0" w:rsidRPr="00CC36C0">
              <w:rPr>
                <w:noProof/>
                <w:webHidden/>
                <w:sz w:val="20"/>
                <w:szCs w:val="20"/>
              </w:rPr>
              <w:fldChar w:fldCharType="end"/>
            </w:r>
          </w:hyperlink>
        </w:p>
        <w:p w:rsidR="008340AD" w:rsidRDefault="008340AD" w:rsidP="006D5099">
          <w:r w:rsidRPr="00A64B24">
            <w:rPr>
              <w:noProof/>
            </w:rPr>
            <w:fldChar w:fldCharType="end"/>
          </w:r>
        </w:p>
      </w:sdtContent>
    </w:sdt>
    <w:p w:rsidR="00EF0B8A" w:rsidRPr="00305A4C" w:rsidRDefault="00EF0B8A" w:rsidP="006D5099"/>
    <w:p w:rsidR="00EF0B8A" w:rsidRDefault="00EF0B8A" w:rsidP="006D5099"/>
    <w:p w:rsidR="00EF0B8A" w:rsidRDefault="00EF0B8A" w:rsidP="006D5099"/>
    <w:p w:rsidR="00EF0B8A" w:rsidRDefault="00EF0B8A" w:rsidP="006D5099"/>
    <w:p w:rsidR="008D2513" w:rsidRDefault="008D2513" w:rsidP="006D5099"/>
    <w:p w:rsidR="008D2513" w:rsidRDefault="008D2513" w:rsidP="006D5099"/>
    <w:p w:rsidR="008D2513" w:rsidRDefault="008D2513" w:rsidP="006D5099"/>
    <w:p w:rsidR="008D2513" w:rsidRDefault="008D2513" w:rsidP="006D5099"/>
    <w:p w:rsidR="008D2513" w:rsidRDefault="008D2513" w:rsidP="006D5099"/>
    <w:p w:rsidR="008D2513" w:rsidRDefault="008D2513" w:rsidP="006D5099"/>
    <w:p w:rsidR="008D2513" w:rsidRDefault="008D2513" w:rsidP="006D5099"/>
    <w:p w:rsidR="008D2513" w:rsidRDefault="008D2513" w:rsidP="006D5099"/>
    <w:p w:rsidR="0094500E" w:rsidRDefault="00D63739" w:rsidP="006D5099">
      <w:pPr>
        <w:keepNext/>
        <w:keepLines/>
        <w:spacing w:before="480"/>
        <w:outlineLvl w:val="0"/>
      </w:pPr>
      <w:r>
        <w:br w:type="page"/>
      </w:r>
    </w:p>
    <w:p w:rsidR="001202C5" w:rsidRDefault="001202C5" w:rsidP="00E01FAD">
      <w:pPr>
        <w:pStyle w:val="Heading1"/>
        <w:jc w:val="both"/>
      </w:pPr>
      <w:bookmarkStart w:id="3" w:name="_Toc502239763"/>
      <w:r>
        <w:t>Introduction</w:t>
      </w:r>
      <w:bookmarkEnd w:id="3"/>
      <w:r>
        <w:t xml:space="preserve"> </w:t>
      </w:r>
    </w:p>
    <w:p w:rsidR="001202C5" w:rsidRDefault="001202C5" w:rsidP="00E01FAD">
      <w:pPr>
        <w:jc w:val="both"/>
      </w:pPr>
    </w:p>
    <w:p w:rsidR="001202C5" w:rsidRDefault="001202C5" w:rsidP="00E01FAD">
      <w:pPr>
        <w:jc w:val="both"/>
      </w:pPr>
      <w:r>
        <w:t>The statutory pay arrangements for teachers give significant discretion to governing bodies to set the pay in their school</w:t>
      </w:r>
      <w:r w:rsidR="00A34DEE">
        <w:t>/Academy</w:t>
      </w:r>
      <w:r>
        <w:t xml:space="preserve">. The School Teachers’ Pay and Conditions Document (STPCD) since September 2004, has placed a statutory duty on schools to have a Pay Policy in place which sets out the basis on which they determine teachers’ pay, and to establish procedures for determining appeals. Governing Bodies </w:t>
      </w:r>
      <w:r w:rsidR="00A34DEE">
        <w:t xml:space="preserve">and trust boards </w:t>
      </w:r>
      <w:r>
        <w:t>are also recommended within their Pay Policy to stipulate their procedures for determining the pay of support staff. This should ensure fair and equitable treatment for all staff and minimise the prospect of disputes and legal challenge of pay decisions.</w:t>
      </w:r>
    </w:p>
    <w:p w:rsidR="001202C5" w:rsidRDefault="001202C5" w:rsidP="00E01FAD">
      <w:pPr>
        <w:jc w:val="both"/>
      </w:pPr>
    </w:p>
    <w:p w:rsidR="001202C5" w:rsidRDefault="001202C5" w:rsidP="00E01FAD">
      <w:pPr>
        <w:jc w:val="both"/>
      </w:pPr>
      <w:r>
        <w:t>Schools, when taking pay decisions, must have regard both to their Pay Policy and to the staff member’s particular post within the staffing structure. A copy of the staffing structure should be attached to the Pay Policy together with any plan for implementing change.</w:t>
      </w:r>
    </w:p>
    <w:p w:rsidR="001202C5" w:rsidRDefault="001202C5" w:rsidP="00E01FAD">
      <w:pPr>
        <w:jc w:val="both"/>
      </w:pPr>
    </w:p>
    <w:p w:rsidR="001202C5" w:rsidRDefault="001202C5" w:rsidP="00E01FAD">
      <w:pPr>
        <w:jc w:val="both"/>
      </w:pPr>
      <w:r>
        <w:t xml:space="preserve">In accordance with School Teachers’ Pay and Conditions Document the </w:t>
      </w:r>
      <w:r w:rsidR="00A34DEE">
        <w:t>Governing Body/Trust Board/trust board</w:t>
      </w:r>
      <w:r>
        <w:t xml:space="preserve"> will ensure that a Teacher’s pay is assessed in accordance with the principles set out in this document.</w:t>
      </w:r>
    </w:p>
    <w:p w:rsidR="001202C5" w:rsidRDefault="001202C5" w:rsidP="00E01FAD">
      <w:pPr>
        <w:jc w:val="both"/>
      </w:pPr>
    </w:p>
    <w:p w:rsidR="001202C5" w:rsidRDefault="001202C5" w:rsidP="00E01FAD">
      <w:pPr>
        <w:jc w:val="both"/>
      </w:pPr>
      <w:r>
        <w:t xml:space="preserve">The pay for associate staff is arranged according to local government pay scales (determined locally) and the applicable conditions of service. The pay/personnel committee of the </w:t>
      </w:r>
      <w:r w:rsidR="00A34DEE">
        <w:t>Governing Body/Trust Board</w:t>
      </w:r>
      <w:r>
        <w:t xml:space="preserve"> has delegated powers to determine the pay of all associate staff (School Standards and Framework Act 1998). </w:t>
      </w:r>
    </w:p>
    <w:p w:rsidR="001202C5" w:rsidRDefault="001202C5" w:rsidP="00E01FAD">
      <w:pPr>
        <w:jc w:val="both"/>
      </w:pPr>
    </w:p>
    <w:p w:rsidR="00A34DEE" w:rsidRDefault="00A34DEE" w:rsidP="00E01FAD">
      <w:pPr>
        <w:jc w:val="both"/>
      </w:pPr>
      <w:r>
        <w:t>NB</w:t>
      </w:r>
      <w:r w:rsidR="00B549ED">
        <w:t>:</w:t>
      </w:r>
      <w:r>
        <w:t xml:space="preserve"> school also means Academy, free schools etc for the purposes of this document</w:t>
      </w:r>
      <w:r w:rsidR="00B549ED">
        <w:t>.</w:t>
      </w:r>
    </w:p>
    <w:p w:rsidR="00B549ED" w:rsidRDefault="00B549ED" w:rsidP="00E01FAD">
      <w:pPr>
        <w:jc w:val="both"/>
      </w:pPr>
      <w:r>
        <w:t>It is recognised that Academies are not obliged to follow nationally agreed terms and conditions for teachers and support staff. This document assumes that a decision has been taken to still follow nationally agreed conditions and pay frame works.</w:t>
      </w:r>
    </w:p>
    <w:p w:rsidR="00B549ED" w:rsidRDefault="00B549ED" w:rsidP="00E01FAD">
      <w:pPr>
        <w:jc w:val="both"/>
      </w:pPr>
    </w:p>
    <w:p w:rsidR="00A34DEE" w:rsidRDefault="00A34DEE" w:rsidP="00E01FAD">
      <w:pPr>
        <w:jc w:val="both"/>
      </w:pPr>
    </w:p>
    <w:p w:rsidR="001202C5" w:rsidRDefault="001202C5" w:rsidP="00E01FAD">
      <w:pPr>
        <w:pStyle w:val="Heading2"/>
        <w:jc w:val="both"/>
      </w:pPr>
      <w:bookmarkStart w:id="4" w:name="_Toc502239764"/>
      <w:r>
        <w:t xml:space="preserve">Statement by the </w:t>
      </w:r>
      <w:r w:rsidR="00A34DEE">
        <w:t>Governing Body/Trust Board/trust board</w:t>
      </w:r>
      <w:bookmarkEnd w:id="4"/>
    </w:p>
    <w:p w:rsidR="001202C5" w:rsidRDefault="001202C5" w:rsidP="00E01FAD">
      <w:pPr>
        <w:jc w:val="both"/>
      </w:pPr>
    </w:p>
    <w:p w:rsidR="001202C5" w:rsidRDefault="001202C5" w:rsidP="00E01FAD">
      <w:pPr>
        <w:jc w:val="both"/>
      </w:pPr>
      <w:r>
        <w:t xml:space="preserve">The </w:t>
      </w:r>
      <w:r w:rsidR="00A34DEE">
        <w:t>Governing Body/Trust Board/trust board</w:t>
      </w:r>
      <w:r>
        <w:t xml:space="preserve"> of the school will seek to ensure that all teaching and support staff are valued and receive proper recognition for their work and contribution to school life.</w:t>
      </w:r>
    </w:p>
    <w:p w:rsidR="001202C5" w:rsidRDefault="001202C5" w:rsidP="00E01FAD">
      <w:pPr>
        <w:jc w:val="both"/>
      </w:pPr>
    </w:p>
    <w:p w:rsidR="001202C5" w:rsidRDefault="001202C5" w:rsidP="00E01FAD">
      <w:pPr>
        <w:pStyle w:val="Heading2"/>
        <w:jc w:val="both"/>
      </w:pPr>
      <w:bookmarkStart w:id="5" w:name="_Toc502239765"/>
      <w:r>
        <w:t>Statement of Intent</w:t>
      </w:r>
      <w:bookmarkEnd w:id="5"/>
    </w:p>
    <w:p w:rsidR="001202C5" w:rsidRDefault="001202C5" w:rsidP="00E01FAD">
      <w:pPr>
        <w:jc w:val="both"/>
      </w:pPr>
    </w:p>
    <w:p w:rsidR="001202C5" w:rsidRDefault="001202C5" w:rsidP="00E01FAD">
      <w:pPr>
        <w:jc w:val="both"/>
      </w:pPr>
      <w:r>
        <w:t xml:space="preserve">This policy will be applied to the pay of all staff employed to work in the school, excluding any staff whose pay is not determined by the </w:t>
      </w:r>
      <w:r w:rsidR="00A34DEE">
        <w:t>Governing Body/Trust Board</w:t>
      </w:r>
      <w:r>
        <w:t>. The prime statutory duty of Governing Bodies, as set out in paragraph 21(2) of the Education Act 2002, is to “conduct the school with a view to promoting high standards of educational achievement at the school”.  The School Pay Policy is intended to support that statutory duty.</w:t>
      </w:r>
    </w:p>
    <w:p w:rsidR="001202C5" w:rsidRDefault="001202C5" w:rsidP="00E01FAD">
      <w:pPr>
        <w:jc w:val="both"/>
      </w:pPr>
    </w:p>
    <w:p w:rsidR="001202C5" w:rsidRDefault="001202C5" w:rsidP="00E01FAD">
      <w:pPr>
        <w:pStyle w:val="Heading2"/>
        <w:jc w:val="both"/>
      </w:pPr>
      <w:bookmarkStart w:id="6" w:name="_Toc502239766"/>
      <w:r>
        <w:t>General Provisions</w:t>
      </w:r>
      <w:bookmarkEnd w:id="6"/>
    </w:p>
    <w:p w:rsidR="001202C5" w:rsidRDefault="001202C5" w:rsidP="00E01FAD">
      <w:pPr>
        <w:jc w:val="both"/>
      </w:pPr>
    </w:p>
    <w:p w:rsidR="001202C5" w:rsidRDefault="001202C5" w:rsidP="00E01FAD">
      <w:pPr>
        <w:jc w:val="both"/>
      </w:pPr>
      <w:r>
        <w:t xml:space="preserve">The Pay Policy will comply with the provisions of The Equality Act 2010/12, The Employment Rights Act 1996, The Employment Relations Act 1999 and The Employment Act 2002, as well as The Part–Time Workers (Prevention of Less Favourable Treatment) Regulations 2000, The Employment Act 2008 and the relevant ACAS code of practice (regarding dispute resolution), The Fixed Term Employees (Prevention of Less Favourable Treatment) Regulations 2002, The Agency Workers Regulations 2010. The </w:t>
      </w:r>
      <w:r w:rsidR="00A34DEE">
        <w:t>Governing Body/Trust Board</w:t>
      </w:r>
      <w:r>
        <w:t xml:space="preserve"> will promote equality in a manner consistent with its duty under Section 149 Equality Act 2010, particularly regarding all decisions on the advertising of posts, appointing, promoting and paying staff, training and staff development.</w:t>
      </w:r>
    </w:p>
    <w:p w:rsidR="001202C5" w:rsidRDefault="001202C5" w:rsidP="00E01FAD">
      <w:pPr>
        <w:jc w:val="both"/>
      </w:pPr>
    </w:p>
    <w:p w:rsidR="001202C5" w:rsidRDefault="001202C5" w:rsidP="00E01FAD">
      <w:pPr>
        <w:pStyle w:val="Heading2"/>
        <w:jc w:val="both"/>
      </w:pPr>
      <w:bookmarkStart w:id="7" w:name="_Toc502239767"/>
      <w:r>
        <w:t>Consultation</w:t>
      </w:r>
      <w:bookmarkEnd w:id="7"/>
    </w:p>
    <w:p w:rsidR="001202C5" w:rsidRDefault="001202C5" w:rsidP="00E01FAD">
      <w:pPr>
        <w:jc w:val="both"/>
      </w:pPr>
    </w:p>
    <w:p w:rsidR="001202C5" w:rsidRDefault="001202C5" w:rsidP="00E01FAD">
      <w:pPr>
        <w:jc w:val="both"/>
      </w:pPr>
      <w:r>
        <w:t xml:space="preserve">The </w:t>
      </w:r>
      <w:r w:rsidR="00A34DEE">
        <w:t>Governing Body/Trust Board</w:t>
      </w:r>
      <w:r>
        <w:t>’s staffing committee will consult staff and trade unions on their Pay Policy and review it each year or when other changes occur to the document to ensure that it reflects the latest legal position. For teachers</w:t>
      </w:r>
      <w:r w:rsidR="00A34DEE">
        <w:t xml:space="preserve"> in LA maintained schools</w:t>
      </w:r>
      <w:r>
        <w:t xml:space="preserve">, the Pay Policy should comply with the current STPCD and the accompanying statutory guidance. The Pay Policy should be used in conjunction with both of these but in the event of any inadvertent contradictions the STPCD and statutory guidance will take precedent. Each member of staff and each governor will be given a copy of the final Pay Policy and the school staffing structure. </w:t>
      </w:r>
    </w:p>
    <w:p w:rsidR="001202C5" w:rsidRDefault="001202C5" w:rsidP="00E01FAD">
      <w:pPr>
        <w:jc w:val="both"/>
      </w:pPr>
    </w:p>
    <w:p w:rsidR="001202C5" w:rsidRDefault="001202C5" w:rsidP="00E01FAD">
      <w:pPr>
        <w:pStyle w:val="Heading2"/>
        <w:jc w:val="both"/>
      </w:pPr>
      <w:bookmarkStart w:id="8" w:name="_Toc502239768"/>
      <w:r>
        <w:t>Budget</w:t>
      </w:r>
      <w:bookmarkEnd w:id="8"/>
    </w:p>
    <w:p w:rsidR="001202C5" w:rsidRDefault="001202C5" w:rsidP="00E01FAD">
      <w:pPr>
        <w:jc w:val="both"/>
      </w:pPr>
    </w:p>
    <w:p w:rsidR="0094500E" w:rsidRPr="00DB0D03" w:rsidRDefault="001202C5" w:rsidP="00E01FAD">
      <w:pPr>
        <w:jc w:val="both"/>
      </w:pPr>
      <w:r>
        <w:t xml:space="preserve">All statements relating to the exercising of discretions are statements of principle and their implementation is reliant on the availability of funding – both currently and in future years. However, the </w:t>
      </w:r>
      <w:r w:rsidR="00A34DEE">
        <w:t>Governing Body/Trust Board</w:t>
      </w:r>
      <w:r>
        <w:t xml:space="preserve"> will ensure that appropriate funding is allocated for pay progression for all eligible employees.  Schools should incorporate an element of funding into their budget planning to reflect annual pay awards and increments.</w:t>
      </w:r>
    </w:p>
    <w:p w:rsidR="001202C5" w:rsidRPr="00D521FF" w:rsidRDefault="001202C5" w:rsidP="00E01FAD">
      <w:pPr>
        <w:pStyle w:val="Heading1"/>
        <w:jc w:val="both"/>
      </w:pPr>
      <w:bookmarkStart w:id="9" w:name="_Toc502239769"/>
      <w:r w:rsidRPr="00D521FF">
        <w:t>School Pay Policy</w:t>
      </w:r>
      <w:bookmarkEnd w:id="9"/>
    </w:p>
    <w:p w:rsidR="001202C5" w:rsidRPr="00BA48C0" w:rsidRDefault="001202C5" w:rsidP="00E01FAD">
      <w:pPr>
        <w:widowControl w:val="0"/>
        <w:autoSpaceDE w:val="0"/>
        <w:autoSpaceDN w:val="0"/>
        <w:adjustRightInd w:val="0"/>
        <w:jc w:val="both"/>
        <w:rPr>
          <w:sz w:val="18"/>
          <w:szCs w:val="18"/>
        </w:rPr>
      </w:pPr>
    </w:p>
    <w:p w:rsidR="001202C5" w:rsidRPr="00BA48C0" w:rsidRDefault="001202C5" w:rsidP="00E01FAD">
      <w:pPr>
        <w:widowControl w:val="0"/>
        <w:autoSpaceDE w:val="0"/>
        <w:autoSpaceDN w:val="0"/>
        <w:adjustRightInd w:val="0"/>
        <w:jc w:val="both"/>
        <w:rPr>
          <w:b/>
          <w:sz w:val="18"/>
          <w:szCs w:val="18"/>
        </w:rPr>
      </w:pPr>
    </w:p>
    <w:p w:rsidR="001202C5" w:rsidRDefault="001202C5" w:rsidP="00E01FAD">
      <w:pPr>
        <w:widowControl w:val="0"/>
        <w:autoSpaceDE w:val="0"/>
        <w:autoSpaceDN w:val="0"/>
        <w:adjustRightInd w:val="0"/>
        <w:jc w:val="both"/>
      </w:pPr>
      <w:r w:rsidRPr="00B610AC">
        <w:t xml:space="preserve">The </w:t>
      </w:r>
      <w:r w:rsidR="00A34DEE">
        <w:t>Governing Body/Trust Board</w:t>
      </w:r>
      <w:r w:rsidRPr="00B610AC">
        <w:t xml:space="preserve"> will pay teachers in accordance with this policy and will apply the guidance stated in the annual DfE School Teachers’ Pay and Conditions Document (STPCD) and any local agreements.</w:t>
      </w:r>
      <w:r>
        <w:t xml:space="preserve"> </w:t>
      </w:r>
      <w:r w:rsidRPr="00B610AC">
        <w:t>Support staff will be paid using the locally determined recommended pay scales for local authority staff and in accordance with their conditions of service</w:t>
      </w:r>
      <w:r w:rsidR="00B549ED">
        <w:t xml:space="preserve"> (discretionary for Academies etc)</w:t>
      </w:r>
      <w:r w:rsidRPr="00B610AC">
        <w:t>.</w:t>
      </w:r>
    </w:p>
    <w:p w:rsidR="001202C5" w:rsidRDefault="001202C5" w:rsidP="00E01FAD">
      <w:pPr>
        <w:widowControl w:val="0"/>
        <w:autoSpaceDE w:val="0"/>
        <w:autoSpaceDN w:val="0"/>
        <w:adjustRightInd w:val="0"/>
        <w:jc w:val="both"/>
      </w:pPr>
    </w:p>
    <w:p w:rsidR="001202C5" w:rsidRDefault="001202C5" w:rsidP="00E01FAD">
      <w:pPr>
        <w:pStyle w:val="Heading2"/>
        <w:jc w:val="both"/>
      </w:pPr>
      <w:bookmarkStart w:id="10" w:name="_Toc502239770"/>
      <w:r>
        <w:t>September 201</w:t>
      </w:r>
      <w:r w:rsidR="006220CA">
        <w:t>7</w:t>
      </w:r>
      <w:r>
        <w:t xml:space="preserve"> Pay A</w:t>
      </w:r>
      <w:r w:rsidRPr="00A81FFE">
        <w:t>ward</w:t>
      </w:r>
      <w:bookmarkEnd w:id="10"/>
      <w:r w:rsidRPr="00A81FFE">
        <w:t xml:space="preserve"> </w:t>
      </w:r>
    </w:p>
    <w:p w:rsidR="001202C5" w:rsidRPr="00A81FFE" w:rsidRDefault="001202C5" w:rsidP="00E01FAD">
      <w:pPr>
        <w:jc w:val="both"/>
        <w:rPr>
          <w:b/>
        </w:rPr>
      </w:pPr>
    </w:p>
    <w:p w:rsidR="001202C5" w:rsidRDefault="001202C5" w:rsidP="00E01FAD">
      <w:pPr>
        <w:jc w:val="both"/>
      </w:pPr>
      <w:r w:rsidRPr="00A81FFE">
        <w:t xml:space="preserve">In line with the </w:t>
      </w:r>
      <w:r>
        <w:t>recommendations in the STRB’s 2</w:t>
      </w:r>
      <w:r w:rsidR="006220CA">
        <w:t>7</w:t>
      </w:r>
      <w:r w:rsidRPr="00A81FFE">
        <w:rPr>
          <w:vertAlign w:val="superscript"/>
        </w:rPr>
        <w:t>th</w:t>
      </w:r>
      <w:r>
        <w:t xml:space="preserve"> </w:t>
      </w:r>
      <w:r w:rsidRPr="00A81FFE">
        <w:t>Report, from 1 September 201</w:t>
      </w:r>
      <w:r w:rsidR="006220CA">
        <w:t>7</w:t>
      </w:r>
      <w:r>
        <w:t>:</w:t>
      </w:r>
    </w:p>
    <w:p w:rsidR="00BF6BE5" w:rsidRDefault="00BF6BE5" w:rsidP="00E01FAD">
      <w:pPr>
        <w:jc w:val="both"/>
      </w:pPr>
    </w:p>
    <w:p w:rsidR="00BF6BE5" w:rsidRDefault="00BF6BE5" w:rsidP="00E01FAD">
      <w:pPr>
        <w:pStyle w:val="ListParagraph"/>
        <w:numPr>
          <w:ilvl w:val="0"/>
          <w:numId w:val="26"/>
        </w:numPr>
        <w:jc w:val="both"/>
      </w:pPr>
      <w:r>
        <w:t xml:space="preserve">a 2% uplift has been applied to </w:t>
      </w:r>
      <w:r w:rsidR="00957164">
        <w:t xml:space="preserve"> all points on</w:t>
      </w:r>
      <w:r>
        <w:t xml:space="preserve"> the main pay range;</w:t>
      </w:r>
    </w:p>
    <w:p w:rsidR="00BF6BE5" w:rsidRDefault="00BF6BE5" w:rsidP="00E01FAD">
      <w:pPr>
        <w:pStyle w:val="ListParagraph"/>
        <w:numPr>
          <w:ilvl w:val="0"/>
          <w:numId w:val="26"/>
        </w:numPr>
        <w:jc w:val="both"/>
      </w:pPr>
      <w:r>
        <w:t>a 1% uplift has been applied to  all other pay ranges in the national framework (including headteacher groups) and all allowances across all pay ranges;</w:t>
      </w:r>
    </w:p>
    <w:p w:rsidR="00BF6BE5" w:rsidRDefault="00BF6BE5" w:rsidP="00E01FAD">
      <w:pPr>
        <w:pStyle w:val="ListParagraph"/>
        <w:numPr>
          <w:ilvl w:val="0"/>
          <w:numId w:val="26"/>
        </w:numPr>
        <w:jc w:val="both"/>
      </w:pPr>
      <w:r>
        <w:t>Except for teachers and leaders on the minima of their respective ranges or group</w:t>
      </w:r>
      <w:r w:rsidR="00FE0442">
        <w:t xml:space="preserve"> ranges, schools must determine </w:t>
      </w:r>
      <w:r>
        <w:t>in accordance with this policy how to take account of the uplift to the national framework in making individual pay progression decisions.</w:t>
      </w:r>
    </w:p>
    <w:p w:rsidR="00B549ED" w:rsidRDefault="00B549ED" w:rsidP="0065525E">
      <w:pPr>
        <w:pStyle w:val="ListParagraph"/>
        <w:jc w:val="both"/>
      </w:pPr>
    </w:p>
    <w:p w:rsidR="00B549ED" w:rsidRDefault="00B549ED" w:rsidP="00B94A47">
      <w:pPr>
        <w:jc w:val="both"/>
      </w:pPr>
    </w:p>
    <w:p w:rsidR="001202C5" w:rsidRPr="0050455E" w:rsidRDefault="001202C5" w:rsidP="00E01FAD">
      <w:pPr>
        <w:numPr>
          <w:ilvl w:val="0"/>
          <w:numId w:val="15"/>
        </w:numPr>
        <w:jc w:val="both"/>
      </w:pPr>
      <w:r w:rsidRPr="0050455E">
        <w:t>Pay progression decisions should be made in relation to appraisal and should be evidence based.</w:t>
      </w:r>
    </w:p>
    <w:p w:rsidR="001202C5" w:rsidRDefault="001202C5" w:rsidP="00E01FAD">
      <w:pPr>
        <w:jc w:val="both"/>
      </w:pPr>
    </w:p>
    <w:p w:rsidR="001202C5" w:rsidRPr="00D521FF" w:rsidRDefault="001202C5" w:rsidP="00E01FAD">
      <w:pPr>
        <w:pStyle w:val="Heading2"/>
        <w:jc w:val="both"/>
      </w:pPr>
      <w:bookmarkStart w:id="11" w:name="_Toc502239771"/>
      <w:r>
        <w:t>Safeguarding A</w:t>
      </w:r>
      <w:r w:rsidRPr="00D521FF">
        <w:t>rrangements</w:t>
      </w:r>
      <w:bookmarkEnd w:id="11"/>
    </w:p>
    <w:p w:rsidR="001202C5" w:rsidRDefault="001202C5" w:rsidP="00E01FAD">
      <w:pPr>
        <w:spacing w:after="120"/>
        <w:jc w:val="both"/>
      </w:pPr>
      <w:r w:rsidRPr="00D521FF">
        <w:br/>
        <w:t xml:space="preserve">The </w:t>
      </w:r>
      <w:r w:rsidR="00A34DEE">
        <w:t>Governing Body/Trust Board</w:t>
      </w:r>
      <w:r w:rsidRPr="00D521FF">
        <w:t xml:space="preserve"> will operate salary safeguarding arrangements in line with the provisions of the 201</w:t>
      </w:r>
      <w:r w:rsidR="00364855">
        <w:t>7</w:t>
      </w:r>
      <w:r w:rsidRPr="00D521FF">
        <w:t xml:space="preserve"> STPCD</w:t>
      </w:r>
      <w:r w:rsidR="00B549ED">
        <w:t xml:space="preserve"> (where adopted)</w:t>
      </w:r>
      <w:r w:rsidRPr="00D521FF">
        <w:t>.</w:t>
      </w:r>
    </w:p>
    <w:p w:rsidR="001202C5" w:rsidRPr="00B610AC" w:rsidRDefault="001202C5" w:rsidP="00E01FAD">
      <w:pPr>
        <w:widowControl w:val="0"/>
        <w:autoSpaceDE w:val="0"/>
        <w:autoSpaceDN w:val="0"/>
        <w:adjustRightInd w:val="0"/>
        <w:jc w:val="both"/>
      </w:pPr>
    </w:p>
    <w:p w:rsidR="001202C5" w:rsidRPr="00D521FF" w:rsidRDefault="001202C5" w:rsidP="00E01FAD">
      <w:pPr>
        <w:pStyle w:val="Heading2"/>
        <w:jc w:val="both"/>
      </w:pPr>
      <w:bookmarkStart w:id="12" w:name="_Toc502239772"/>
      <w:r w:rsidRPr="00D521FF">
        <w:t>Salary Re</w:t>
      </w:r>
      <w:r>
        <w:t>views (</w:t>
      </w:r>
      <w:r w:rsidRPr="00D521FF">
        <w:t>Teachers)</w:t>
      </w:r>
      <w:bookmarkEnd w:id="12"/>
    </w:p>
    <w:p w:rsidR="001202C5" w:rsidRPr="00B610AC" w:rsidRDefault="001202C5" w:rsidP="00E01FAD">
      <w:pPr>
        <w:widowControl w:val="0"/>
        <w:autoSpaceDE w:val="0"/>
        <w:autoSpaceDN w:val="0"/>
        <w:adjustRightInd w:val="0"/>
        <w:jc w:val="both"/>
        <w:rPr>
          <w:b/>
        </w:rPr>
      </w:pPr>
    </w:p>
    <w:p w:rsidR="001202C5" w:rsidRPr="00B610AC" w:rsidRDefault="001202C5" w:rsidP="00E01FAD">
      <w:pPr>
        <w:jc w:val="both"/>
      </w:pPr>
      <w:r w:rsidRPr="00B610AC">
        <w:t>All School Teacher salaries (including the Lea</w:t>
      </w:r>
      <w:r>
        <w:t xml:space="preserve">dership Group) will be reviewed </w:t>
      </w:r>
      <w:r w:rsidRPr="00B610AC">
        <w:t xml:space="preserve">annually to take effect from 1 September. </w:t>
      </w:r>
    </w:p>
    <w:p w:rsidR="001202C5" w:rsidRPr="00B610AC" w:rsidRDefault="001202C5" w:rsidP="00E01FAD">
      <w:pPr>
        <w:jc w:val="both"/>
      </w:pPr>
    </w:p>
    <w:p w:rsidR="001202C5" w:rsidRDefault="001202C5" w:rsidP="00E01FAD">
      <w:pPr>
        <w:jc w:val="both"/>
      </w:pPr>
      <w:r w:rsidRPr="00B610AC">
        <w:t xml:space="preserve">Salaries will be reviewed in accordance with the </w:t>
      </w:r>
      <w:r>
        <w:t xml:space="preserve">criteria detailed in the annual </w:t>
      </w:r>
      <w:r w:rsidRPr="00B610AC">
        <w:t>DfE STPCD. Any pay decisions relat</w:t>
      </w:r>
      <w:r>
        <w:t xml:space="preserve">ing to the pay assessment for 1 </w:t>
      </w:r>
      <w:r w:rsidRPr="00B610AC">
        <w:t>September each year should be made by 31 O</w:t>
      </w:r>
      <w:r>
        <w:t xml:space="preserve">ctober at the latest, except in </w:t>
      </w:r>
      <w:r w:rsidRPr="00B610AC">
        <w:t>the case of Headteachers</w:t>
      </w:r>
      <w:r>
        <w:t>;</w:t>
      </w:r>
      <w:r w:rsidRPr="00B610AC">
        <w:t xml:space="preserve"> for whom the deadline is 31 December. </w:t>
      </w:r>
    </w:p>
    <w:p w:rsidR="001202C5" w:rsidRPr="00B610AC" w:rsidRDefault="001202C5" w:rsidP="00E01FAD">
      <w:pPr>
        <w:jc w:val="both"/>
      </w:pPr>
    </w:p>
    <w:p w:rsidR="001202C5" w:rsidRPr="00B610AC" w:rsidRDefault="001202C5" w:rsidP="00E01FAD">
      <w:pPr>
        <w:jc w:val="both"/>
      </w:pPr>
      <w:r w:rsidRPr="00B610AC">
        <w:t>Pay Assessments may be carried out at other times where appropriate according to the terms of the STPCD (e.g. whenever a teacher takes up a new post on a date other than 1 September)</w:t>
      </w:r>
      <w:r>
        <w:t>.</w:t>
      </w:r>
    </w:p>
    <w:p w:rsidR="001202C5" w:rsidRPr="00B610AC" w:rsidRDefault="001202C5" w:rsidP="00E01FAD">
      <w:pPr>
        <w:jc w:val="both"/>
      </w:pPr>
    </w:p>
    <w:p w:rsidR="001202C5" w:rsidRDefault="001202C5" w:rsidP="00E01FAD">
      <w:pPr>
        <w:widowControl w:val="0"/>
        <w:autoSpaceDE w:val="0"/>
        <w:autoSpaceDN w:val="0"/>
        <w:adjustRightInd w:val="0"/>
        <w:jc w:val="both"/>
      </w:pPr>
      <w:r w:rsidRPr="00B610AC">
        <w:t>All teachers will be provided with a written statement of their salary determination at the earliest opportunity and no later than one month after the determination. They will receive this written statement regardless of whether or not an increment in pay is awarded. A model pay statement for Classroom Teachers is given as an appendix to this policy</w:t>
      </w:r>
      <w:r>
        <w:t xml:space="preserve"> (appendix 1).</w:t>
      </w:r>
    </w:p>
    <w:p w:rsidR="00B549ED" w:rsidRDefault="00B549ED" w:rsidP="00E01FAD">
      <w:pPr>
        <w:widowControl w:val="0"/>
        <w:autoSpaceDE w:val="0"/>
        <w:autoSpaceDN w:val="0"/>
        <w:adjustRightInd w:val="0"/>
        <w:jc w:val="both"/>
      </w:pPr>
    </w:p>
    <w:p w:rsidR="001202C5" w:rsidRPr="00B610AC" w:rsidRDefault="001202C5" w:rsidP="00E01FAD">
      <w:pPr>
        <w:widowControl w:val="0"/>
        <w:autoSpaceDE w:val="0"/>
        <w:autoSpaceDN w:val="0"/>
        <w:adjustRightInd w:val="0"/>
        <w:ind w:left="720"/>
        <w:jc w:val="both"/>
      </w:pPr>
    </w:p>
    <w:p w:rsidR="001202C5" w:rsidRDefault="001202C5" w:rsidP="00E01FAD">
      <w:pPr>
        <w:pStyle w:val="Heading2"/>
        <w:jc w:val="both"/>
      </w:pPr>
      <w:bookmarkStart w:id="13" w:name="_Toc502239773"/>
      <w:r w:rsidRPr="00D521FF">
        <w:t>Salary Re</w:t>
      </w:r>
      <w:r>
        <w:t>views (Support Staff</w:t>
      </w:r>
      <w:r w:rsidRPr="00D521FF">
        <w:t>)</w:t>
      </w:r>
      <w:bookmarkEnd w:id="13"/>
    </w:p>
    <w:p w:rsidR="001202C5" w:rsidRPr="00D521FF" w:rsidRDefault="001202C5" w:rsidP="00E01FAD">
      <w:pPr>
        <w:widowControl w:val="0"/>
        <w:autoSpaceDE w:val="0"/>
        <w:autoSpaceDN w:val="0"/>
        <w:adjustRightInd w:val="0"/>
        <w:jc w:val="both"/>
        <w:rPr>
          <w:b/>
        </w:rPr>
      </w:pPr>
    </w:p>
    <w:p w:rsidR="001202C5" w:rsidRPr="00B06C28" w:rsidRDefault="001202C5" w:rsidP="00E01FAD">
      <w:pPr>
        <w:widowControl w:val="0"/>
        <w:autoSpaceDE w:val="0"/>
        <w:autoSpaceDN w:val="0"/>
        <w:adjustRightInd w:val="0"/>
        <w:jc w:val="both"/>
      </w:pPr>
      <w:r w:rsidRPr="00B06C28">
        <w:t>Pay determinations for members of the support staff will be based on the recommended pay scales for Local Authority staff and in accordance with their conditions of service at the time.</w:t>
      </w:r>
      <w:r>
        <w:t xml:space="preserve"> Local Authority pay scales can be found in appendix 3 of this document.</w:t>
      </w:r>
    </w:p>
    <w:p w:rsidR="001202C5" w:rsidRPr="008B1B8A" w:rsidRDefault="001202C5" w:rsidP="00FE0442">
      <w:pPr>
        <w:pStyle w:val="Heading1"/>
      </w:pPr>
      <w:bookmarkStart w:id="14" w:name="_Toc502239774"/>
      <w:r w:rsidRPr="008B1B8A">
        <w:t>Determining Pay on Appointment</w:t>
      </w:r>
      <w:bookmarkEnd w:id="14"/>
      <w:r w:rsidRPr="008B1B8A">
        <w:t xml:space="preserve"> </w:t>
      </w:r>
    </w:p>
    <w:p w:rsidR="001202C5" w:rsidRDefault="001202C5">
      <w:pPr>
        <w:widowControl w:val="0"/>
        <w:autoSpaceDE w:val="0"/>
        <w:autoSpaceDN w:val="0"/>
        <w:adjustRightInd w:val="0"/>
        <w:rPr>
          <w:b/>
        </w:rPr>
      </w:pPr>
    </w:p>
    <w:p w:rsidR="001202C5" w:rsidRDefault="001202C5">
      <w:pPr>
        <w:widowControl w:val="0"/>
        <w:autoSpaceDE w:val="0"/>
        <w:autoSpaceDN w:val="0"/>
        <w:adjustRightInd w:val="0"/>
      </w:pPr>
      <w:r w:rsidRPr="00B610AC">
        <w:t xml:space="preserve">The </w:t>
      </w:r>
      <w:r w:rsidR="00A34DEE">
        <w:t>Governing Body/Trust Board</w:t>
      </w:r>
      <w:r w:rsidRPr="00B610AC">
        <w:t xml:space="preserve"> will determine the pay range for any vacancy</w:t>
      </w:r>
      <w:r>
        <w:t xml:space="preserve">, including additional pay elements (e.g. recruitment or retention payments, out of school hours learning, permanent support for other schools, initial teacher training) </w:t>
      </w:r>
      <w:r w:rsidRPr="00075132">
        <w:t xml:space="preserve">previously </w:t>
      </w:r>
      <w:r>
        <w:t>paid separately to basic pay</w:t>
      </w:r>
      <w:r w:rsidRPr="00B610AC">
        <w:t xml:space="preserve">, whether teacher, support staff or member of the leadership group, prior to such a vacancy being advertised and state this in the advert for the post. </w:t>
      </w:r>
      <w:r w:rsidRPr="00B14530">
        <w:rPr>
          <w:u w:val="single"/>
        </w:rPr>
        <w:t>Only</w:t>
      </w:r>
      <w:r w:rsidRPr="00DF1FAA">
        <w:rPr>
          <w:u w:val="single"/>
        </w:rPr>
        <w:t xml:space="preserve"> temporary additional payments</w:t>
      </w:r>
      <w:r w:rsidRPr="00B14530">
        <w:rPr>
          <w:u w:val="single"/>
        </w:rPr>
        <w:t xml:space="preserve"> will be paid separate to basic pay</w:t>
      </w:r>
      <w:r>
        <w:t xml:space="preserve">. </w:t>
      </w:r>
      <w:r w:rsidRPr="00B610AC">
        <w:t xml:space="preserve">On appointment it will determine the starting salary within that range to be offered to the successful candidate. The </w:t>
      </w:r>
      <w:r w:rsidR="00A34DEE">
        <w:t>Governing Body/Trust Board</w:t>
      </w:r>
      <w:r w:rsidRPr="00B610AC">
        <w:t xml:space="preserve">, when making this determination, shall ensure that no teacher shall be awarded a salary that is less than the minimum or more than the maximum of the relevant pay range or ISR. </w:t>
      </w:r>
    </w:p>
    <w:p w:rsidR="004E63A0" w:rsidRDefault="004E63A0">
      <w:pPr>
        <w:widowControl w:val="0"/>
        <w:autoSpaceDE w:val="0"/>
        <w:autoSpaceDN w:val="0"/>
        <w:adjustRightInd w:val="0"/>
      </w:pPr>
    </w:p>
    <w:p w:rsidR="001202C5" w:rsidRDefault="001202C5">
      <w:pPr>
        <w:widowControl w:val="0"/>
        <w:autoSpaceDE w:val="0"/>
        <w:autoSpaceDN w:val="0"/>
        <w:adjustRightInd w:val="0"/>
      </w:pPr>
    </w:p>
    <w:p w:rsidR="001202C5" w:rsidRPr="00B610AC" w:rsidRDefault="001202C5">
      <w:pPr>
        <w:widowControl w:val="0"/>
        <w:autoSpaceDE w:val="0"/>
        <w:autoSpaceDN w:val="0"/>
        <w:adjustRightInd w:val="0"/>
      </w:pPr>
      <w:r w:rsidRPr="00B610AC">
        <w:t xml:space="preserve">The </w:t>
      </w:r>
      <w:r w:rsidR="00A34DEE">
        <w:t>Governing Body/Trust Board</w:t>
      </w:r>
      <w:r w:rsidRPr="00B610AC">
        <w:t xml:space="preserve"> will normally match the salary point of any teacher on joining the school. Any exception to this must be clearly explained at the advertising stage</w:t>
      </w:r>
      <w:r w:rsidR="00B549ED">
        <w:t xml:space="preserve"> and the pay policy should determine that pay is not automatically portable.</w:t>
      </w:r>
      <w:r w:rsidRPr="00B610AC">
        <w:t>.</w:t>
      </w:r>
      <w:r>
        <w:t xml:space="preserve"> </w:t>
      </w:r>
    </w:p>
    <w:p w:rsidR="001202C5" w:rsidRDefault="001202C5">
      <w:pPr>
        <w:widowControl w:val="0"/>
        <w:autoSpaceDE w:val="0"/>
        <w:autoSpaceDN w:val="0"/>
        <w:adjustRightInd w:val="0"/>
      </w:pPr>
    </w:p>
    <w:p w:rsidR="001202C5" w:rsidRPr="00B610AC" w:rsidRDefault="001202C5">
      <w:pPr>
        <w:widowControl w:val="0"/>
        <w:autoSpaceDE w:val="0"/>
        <w:autoSpaceDN w:val="0"/>
        <w:adjustRightInd w:val="0"/>
      </w:pPr>
      <w:r w:rsidRPr="00B610AC">
        <w:t xml:space="preserve">In making such pay determinations, the </w:t>
      </w:r>
      <w:r w:rsidR="00A34DEE">
        <w:t>Governing Body/Trust Board</w:t>
      </w:r>
      <w:r w:rsidRPr="00B610AC">
        <w:t xml:space="preserve"> may take into account a range of factors, including:</w:t>
      </w:r>
    </w:p>
    <w:p w:rsidR="001202C5" w:rsidRPr="00B610AC" w:rsidRDefault="001202C5">
      <w:pPr>
        <w:widowControl w:val="0"/>
        <w:tabs>
          <w:tab w:val="left" w:pos="567"/>
        </w:tabs>
        <w:autoSpaceDE w:val="0"/>
        <w:autoSpaceDN w:val="0"/>
        <w:adjustRightInd w:val="0"/>
      </w:pPr>
    </w:p>
    <w:p w:rsidR="001202C5" w:rsidRPr="00B610AC" w:rsidRDefault="001202C5">
      <w:pPr>
        <w:widowControl w:val="0"/>
        <w:numPr>
          <w:ilvl w:val="0"/>
          <w:numId w:val="10"/>
        </w:numPr>
        <w:autoSpaceDE w:val="0"/>
        <w:autoSpaceDN w:val="0"/>
        <w:adjustRightInd w:val="0"/>
        <w:ind w:hanging="513"/>
      </w:pPr>
      <w:r w:rsidRPr="00B610AC">
        <w:rPr>
          <w:i/>
        </w:rPr>
        <w:t>The nature and responsibilities of the post</w:t>
      </w:r>
    </w:p>
    <w:p w:rsidR="001202C5" w:rsidRPr="00B610AC" w:rsidRDefault="001202C5">
      <w:pPr>
        <w:widowControl w:val="0"/>
        <w:numPr>
          <w:ilvl w:val="0"/>
          <w:numId w:val="10"/>
        </w:numPr>
        <w:autoSpaceDE w:val="0"/>
        <w:autoSpaceDN w:val="0"/>
        <w:adjustRightInd w:val="0"/>
        <w:ind w:hanging="513"/>
      </w:pPr>
      <w:r w:rsidRPr="00B610AC">
        <w:rPr>
          <w:i/>
        </w:rPr>
        <w:t>The level of qualifications, skills and experience required</w:t>
      </w:r>
    </w:p>
    <w:p w:rsidR="001202C5" w:rsidRPr="00B610AC" w:rsidRDefault="001202C5">
      <w:pPr>
        <w:widowControl w:val="0"/>
        <w:numPr>
          <w:ilvl w:val="0"/>
          <w:numId w:val="10"/>
        </w:numPr>
        <w:autoSpaceDE w:val="0"/>
        <w:autoSpaceDN w:val="0"/>
        <w:adjustRightInd w:val="0"/>
        <w:ind w:hanging="513"/>
      </w:pPr>
      <w:r w:rsidRPr="00B610AC">
        <w:rPr>
          <w:i/>
        </w:rPr>
        <w:t>The wider school context</w:t>
      </w:r>
    </w:p>
    <w:p w:rsidR="001202C5" w:rsidRPr="00D521FF" w:rsidRDefault="001202C5">
      <w:pPr>
        <w:widowControl w:val="0"/>
        <w:autoSpaceDE w:val="0"/>
        <w:autoSpaceDN w:val="0"/>
        <w:adjustRightInd w:val="0"/>
        <w:ind w:hanging="513"/>
        <w:rPr>
          <w:b/>
          <w:i/>
          <w:sz w:val="20"/>
        </w:rPr>
      </w:pPr>
    </w:p>
    <w:p w:rsidR="001202C5" w:rsidRDefault="001202C5">
      <w:pPr>
        <w:widowControl w:val="0"/>
        <w:autoSpaceDE w:val="0"/>
        <w:autoSpaceDN w:val="0"/>
        <w:adjustRightInd w:val="0"/>
        <w:rPr>
          <w:i/>
        </w:rPr>
      </w:pPr>
      <w:r w:rsidRPr="00B610AC">
        <w:rPr>
          <w:b/>
          <w:i/>
        </w:rPr>
        <w:t xml:space="preserve">NB </w:t>
      </w:r>
      <w:r w:rsidRPr="00B610AC">
        <w:rPr>
          <w:i/>
        </w:rPr>
        <w:t>These options are for guidance only, are not intended to provide an exhaustive list and may not apply to all appointments</w:t>
      </w:r>
      <w:r>
        <w:rPr>
          <w:i/>
        </w:rPr>
        <w:t>.</w:t>
      </w:r>
    </w:p>
    <w:p w:rsidR="001202C5" w:rsidRPr="00B610AC" w:rsidRDefault="001202C5">
      <w:pPr>
        <w:widowControl w:val="0"/>
        <w:autoSpaceDE w:val="0"/>
        <w:autoSpaceDN w:val="0"/>
        <w:adjustRightInd w:val="0"/>
      </w:pPr>
    </w:p>
    <w:p w:rsidR="001202C5" w:rsidRDefault="001202C5">
      <w:pPr>
        <w:pStyle w:val="Heading2"/>
      </w:pPr>
      <w:bookmarkStart w:id="15" w:name="_Toc502239775"/>
      <w:r w:rsidRPr="00B610AC">
        <w:t>Classroom teacher posts</w:t>
      </w:r>
      <w:bookmarkEnd w:id="15"/>
    </w:p>
    <w:p w:rsidR="001202C5" w:rsidRPr="00B610AC" w:rsidRDefault="001202C5">
      <w:pPr>
        <w:widowControl w:val="0"/>
        <w:autoSpaceDE w:val="0"/>
        <w:autoSpaceDN w:val="0"/>
        <w:adjustRightInd w:val="0"/>
      </w:pPr>
    </w:p>
    <w:p w:rsidR="001202C5" w:rsidRDefault="001202C5">
      <w:pPr>
        <w:widowControl w:val="0"/>
        <w:autoSpaceDE w:val="0"/>
        <w:autoSpaceDN w:val="0"/>
        <w:adjustRightInd w:val="0"/>
      </w:pPr>
      <w:r w:rsidRPr="00B610AC">
        <w:t xml:space="preserve">The pay range to be used to determine pay </w:t>
      </w:r>
      <w:r>
        <w:t>on</w:t>
      </w:r>
      <w:r w:rsidRPr="00B610AC">
        <w:t xml:space="preserve"> appointment is </w:t>
      </w:r>
      <w:r>
        <w:t xml:space="preserve">either </w:t>
      </w:r>
      <w:r w:rsidRPr="00B610AC">
        <w:t xml:space="preserve">the main pay range </w:t>
      </w:r>
      <w:r>
        <w:t>or</w:t>
      </w:r>
      <w:r w:rsidRPr="00B610AC">
        <w:t xml:space="preserve"> upper pay range</w:t>
      </w:r>
      <w:r>
        <w:t xml:space="preserve"> (see appendix 2).</w:t>
      </w:r>
    </w:p>
    <w:p w:rsidR="001202C5" w:rsidRPr="00B610AC" w:rsidRDefault="001202C5">
      <w:pPr>
        <w:widowControl w:val="0"/>
        <w:autoSpaceDE w:val="0"/>
        <w:autoSpaceDN w:val="0"/>
        <w:adjustRightInd w:val="0"/>
      </w:pPr>
    </w:p>
    <w:p w:rsidR="001202C5" w:rsidRDefault="001202C5">
      <w:pPr>
        <w:pStyle w:val="Heading2"/>
      </w:pPr>
      <w:bookmarkStart w:id="16" w:name="_Toc502239776"/>
      <w:r w:rsidRPr="00B610AC">
        <w:t>Leading Practitioner teacher posts</w:t>
      </w:r>
      <w:bookmarkEnd w:id="16"/>
    </w:p>
    <w:p w:rsidR="001202C5" w:rsidRPr="002616B5" w:rsidRDefault="001202C5">
      <w:pPr>
        <w:tabs>
          <w:tab w:val="left" w:pos="567"/>
        </w:tabs>
        <w:spacing w:after="120"/>
        <w:rPr>
          <w:b/>
        </w:rPr>
      </w:pPr>
      <w:r>
        <w:t>Will be paid on the appropriate pay range (see appendix 2).</w:t>
      </w:r>
      <w:r>
        <w:br/>
      </w:r>
    </w:p>
    <w:p w:rsidR="001202C5" w:rsidRPr="00B610AC" w:rsidRDefault="001202C5">
      <w:pPr>
        <w:pStyle w:val="Heading2"/>
      </w:pPr>
      <w:bookmarkStart w:id="17" w:name="_Toc502239777"/>
      <w:r w:rsidRPr="00B610AC">
        <w:t>Unqualified teachers</w:t>
      </w:r>
      <w:bookmarkEnd w:id="17"/>
    </w:p>
    <w:p w:rsidR="001202C5" w:rsidRPr="00B610AC" w:rsidRDefault="001202C5">
      <w:pPr>
        <w:spacing w:after="120"/>
        <w:ind w:left="567" w:hanging="567"/>
      </w:pPr>
      <w:r>
        <w:t>Will be paid on the appropriate pay range (see appendix 2).</w:t>
      </w:r>
    </w:p>
    <w:p w:rsidR="001202C5" w:rsidRPr="00B610AC" w:rsidRDefault="001202C5">
      <w:pPr>
        <w:pStyle w:val="Heading2"/>
      </w:pPr>
      <w:r>
        <w:br/>
      </w:r>
      <w:bookmarkStart w:id="18" w:name="_Toc502239778"/>
      <w:r w:rsidRPr="00B610AC">
        <w:t>Leadership teacher posts (Head Teacher, Deputy &amp; Assistant Head Teachers)</w:t>
      </w:r>
      <w:bookmarkEnd w:id="18"/>
    </w:p>
    <w:p w:rsidR="001202C5" w:rsidRPr="00F523D4" w:rsidRDefault="001202C5">
      <w:pPr>
        <w:widowControl w:val="0"/>
        <w:autoSpaceDE w:val="0"/>
        <w:autoSpaceDN w:val="0"/>
        <w:adjustRightInd w:val="0"/>
      </w:pPr>
      <w:r w:rsidRPr="00B610AC">
        <w:t>The pay ranges for the Head Teacher, Deputy Head Teacher[s] and Assistant</w:t>
      </w:r>
      <w:r>
        <w:t xml:space="preserve"> </w:t>
      </w:r>
      <w:r w:rsidRPr="00B610AC">
        <w:t>Head Teacher[s] will be determined in accordance with the criteria specified in the 201</w:t>
      </w:r>
      <w:r w:rsidR="00364855">
        <w:t>7</w:t>
      </w:r>
      <w:r w:rsidRPr="00B610AC">
        <w:t xml:space="preserve"> STPCD</w:t>
      </w:r>
      <w:r>
        <w:t xml:space="preserve"> </w:t>
      </w:r>
      <w:r w:rsidRPr="00B610AC">
        <w:t>and ensuring fair pay relativities</w:t>
      </w:r>
      <w:r>
        <w:t xml:space="preserve">, where the </w:t>
      </w:r>
      <w:r w:rsidR="00A34DEE">
        <w:t>Governing Body/Trust Board</w:t>
      </w:r>
      <w:r>
        <w:t xml:space="preserve"> believe these to be appropriate (see appendix 2).</w:t>
      </w:r>
      <w:r w:rsidRPr="00057A91">
        <w:t xml:space="preserve"> </w:t>
      </w:r>
      <w:r>
        <w:t>Should you require further advice please contact your named HR Business Partner to discuss your requirements.</w:t>
      </w:r>
      <w:r w:rsidRPr="0009531F">
        <w:t xml:space="preserve"> </w:t>
      </w:r>
      <w:r>
        <w:t xml:space="preserve">Prior to determining appropriate pay ranges for members of the leadership group, the </w:t>
      </w:r>
      <w:r w:rsidR="00A34DEE">
        <w:t>Governing Body/Trust Board</w:t>
      </w:r>
      <w:r>
        <w:t xml:space="preserve"> may consider researching pay ranges in other schools of a similar size and nature.  </w:t>
      </w:r>
    </w:p>
    <w:p w:rsidR="005572B8" w:rsidRDefault="005572B8">
      <w:pPr>
        <w:rPr>
          <w:rFonts w:eastAsiaTheme="majorEastAsia"/>
          <w:bCs/>
          <w:sz w:val="36"/>
          <w:szCs w:val="36"/>
        </w:rPr>
      </w:pPr>
      <w:r>
        <w:br w:type="page"/>
      </w:r>
    </w:p>
    <w:p w:rsidR="001202C5" w:rsidRPr="001202C5" w:rsidRDefault="001202C5" w:rsidP="00E01FAD">
      <w:pPr>
        <w:pStyle w:val="Heading1"/>
        <w:jc w:val="both"/>
      </w:pPr>
      <w:bookmarkStart w:id="19" w:name="_Toc502239779"/>
      <w:r w:rsidRPr="001202C5">
        <w:t>Pay Progression</w:t>
      </w:r>
      <w:bookmarkEnd w:id="19"/>
    </w:p>
    <w:p w:rsidR="001202C5" w:rsidRPr="004F3A70" w:rsidRDefault="001202C5" w:rsidP="00E01FAD">
      <w:pPr>
        <w:widowControl w:val="0"/>
        <w:autoSpaceDE w:val="0"/>
        <w:autoSpaceDN w:val="0"/>
        <w:adjustRightInd w:val="0"/>
        <w:jc w:val="both"/>
        <w:rPr>
          <w:b/>
          <w:color w:val="000080"/>
          <w:szCs w:val="22"/>
        </w:rPr>
      </w:pPr>
    </w:p>
    <w:p w:rsidR="001202C5" w:rsidRPr="00F15B42" w:rsidRDefault="001202C5" w:rsidP="00E01FAD">
      <w:pPr>
        <w:pStyle w:val="Heading2"/>
        <w:jc w:val="both"/>
      </w:pPr>
      <w:bookmarkStart w:id="20" w:name="_Toc502239780"/>
      <w:r w:rsidRPr="00F15B42">
        <w:t>Pay Progression based on Performance</w:t>
      </w:r>
      <w:bookmarkEnd w:id="20"/>
      <w:r w:rsidRPr="00F15B42">
        <w:t xml:space="preserve"> </w:t>
      </w:r>
    </w:p>
    <w:p w:rsidR="001202C5" w:rsidRPr="00F15B42" w:rsidRDefault="001202C5" w:rsidP="00E01FAD">
      <w:pPr>
        <w:widowControl w:val="0"/>
        <w:autoSpaceDE w:val="0"/>
        <w:autoSpaceDN w:val="0"/>
        <w:adjustRightInd w:val="0"/>
        <w:jc w:val="both"/>
      </w:pPr>
    </w:p>
    <w:p w:rsidR="001202C5" w:rsidRPr="00B610AC" w:rsidRDefault="001202C5" w:rsidP="00E01FAD">
      <w:pPr>
        <w:widowControl w:val="0"/>
        <w:autoSpaceDE w:val="0"/>
        <w:autoSpaceDN w:val="0"/>
        <w:adjustRightInd w:val="0"/>
        <w:jc w:val="both"/>
      </w:pPr>
      <w:r>
        <w:rPr>
          <w:i/>
        </w:rPr>
        <w:t xml:space="preserve">Any </w:t>
      </w:r>
      <w:r w:rsidRPr="00B610AC">
        <w:rPr>
          <w:i/>
        </w:rPr>
        <w:t xml:space="preserve">pay decisions made </w:t>
      </w:r>
      <w:r>
        <w:rPr>
          <w:i/>
        </w:rPr>
        <w:t>s</w:t>
      </w:r>
      <w:r w:rsidRPr="00B610AC">
        <w:rPr>
          <w:i/>
        </w:rPr>
        <w:t>in</w:t>
      </w:r>
      <w:r>
        <w:rPr>
          <w:i/>
        </w:rPr>
        <w:t>ce</w:t>
      </w:r>
      <w:r w:rsidRPr="00B610AC">
        <w:rPr>
          <w:i/>
        </w:rPr>
        <w:t xml:space="preserve"> September 2014 will need to be linked to assessments of performance. These assessments should be carried out in accordance with the agreed performance management and appraisal process)</w:t>
      </w:r>
      <w:r>
        <w:rPr>
          <w:i/>
        </w:rPr>
        <w:t>.</w:t>
      </w:r>
    </w:p>
    <w:p w:rsidR="001202C5" w:rsidRPr="00B610AC" w:rsidRDefault="001202C5" w:rsidP="00E01FAD">
      <w:pPr>
        <w:widowControl w:val="0"/>
        <w:autoSpaceDE w:val="0"/>
        <w:autoSpaceDN w:val="0"/>
        <w:adjustRightInd w:val="0"/>
        <w:jc w:val="both"/>
        <w:rPr>
          <w:i/>
        </w:rPr>
      </w:pPr>
    </w:p>
    <w:p w:rsidR="001202C5" w:rsidRPr="00B610AC" w:rsidRDefault="001202C5" w:rsidP="00E01FAD">
      <w:pPr>
        <w:widowControl w:val="0"/>
        <w:autoSpaceDE w:val="0"/>
        <w:autoSpaceDN w:val="0"/>
        <w:adjustRightInd w:val="0"/>
        <w:jc w:val="both"/>
      </w:pPr>
      <w:r>
        <w:t>A</w:t>
      </w:r>
      <w:r w:rsidRPr="00B610AC">
        <w:t>ll teachers can expect to receive regular, constructive, feedback on their performance and are subject to an annual appraisal that recognises their strengths, informs plans for their future development and helps enhance their professional practice. The arrangements for teacher appraisal are set out in the schools’ agreed Appraisal Policy.</w:t>
      </w:r>
    </w:p>
    <w:p w:rsidR="001202C5" w:rsidRPr="00B610AC" w:rsidRDefault="001202C5" w:rsidP="00E01FAD">
      <w:pPr>
        <w:widowControl w:val="0"/>
        <w:autoSpaceDE w:val="0"/>
        <w:autoSpaceDN w:val="0"/>
        <w:adjustRightInd w:val="0"/>
        <w:jc w:val="both"/>
      </w:pPr>
    </w:p>
    <w:p w:rsidR="001202C5" w:rsidRPr="00B610AC" w:rsidRDefault="001202C5" w:rsidP="00E01FAD">
      <w:pPr>
        <w:widowControl w:val="0"/>
        <w:autoSpaceDE w:val="0"/>
        <w:autoSpaceDN w:val="0"/>
        <w:adjustRightInd w:val="0"/>
        <w:jc w:val="both"/>
      </w:pPr>
      <w:r w:rsidRPr="00B610AC">
        <w:t>The evidence used to determine pay should be</w:t>
      </w:r>
      <w:r>
        <w:t xml:space="preserve"> that</w:t>
      </w:r>
      <w:r w:rsidRPr="00B610AC">
        <w:t xml:space="preserve"> used to inform the performance management/appraisal decisions. This can be obtained from a variety of sources including observations of practice, pupil progress data etc</w:t>
      </w:r>
      <w:r>
        <w:t>.</w:t>
      </w:r>
      <w:r w:rsidRPr="00B610AC" w:rsidDel="00F6305C">
        <w:t xml:space="preserve"> </w:t>
      </w:r>
      <w:r w:rsidRPr="00B610AC">
        <w:t>Decisions regarding pay progression for teachers will be made with reference to the teachers’ appraisal reports and the pay recommendations they contain. Decisions made in relation to th</w:t>
      </w:r>
      <w:r>
        <w:t>e pay of NQT</w:t>
      </w:r>
      <w:r w:rsidRPr="00B610AC">
        <w:t>s will be made via the statutory induction process. Decisions made in relation to NQTs need to reflect the reasonable expectations placed on them with regards to performance as an NQT</w:t>
      </w:r>
      <w:r>
        <w:t>.</w:t>
      </w:r>
    </w:p>
    <w:p w:rsidR="001202C5" w:rsidRDefault="001202C5" w:rsidP="00E01FAD">
      <w:pPr>
        <w:widowControl w:val="0"/>
        <w:autoSpaceDE w:val="0"/>
        <w:autoSpaceDN w:val="0"/>
        <w:adjustRightInd w:val="0"/>
        <w:jc w:val="both"/>
        <w:rPr>
          <w:sz w:val="18"/>
          <w:szCs w:val="18"/>
        </w:rPr>
      </w:pPr>
    </w:p>
    <w:p w:rsidR="001202C5" w:rsidRDefault="001202C5" w:rsidP="00E01FAD">
      <w:pPr>
        <w:widowControl w:val="0"/>
        <w:autoSpaceDE w:val="0"/>
        <w:autoSpaceDN w:val="0"/>
        <w:adjustRightInd w:val="0"/>
        <w:jc w:val="both"/>
      </w:pPr>
      <w:r>
        <w:t>The possible outcomes regarding pay are:</w:t>
      </w:r>
    </w:p>
    <w:p w:rsidR="001202C5" w:rsidRPr="0077380F" w:rsidRDefault="001202C5" w:rsidP="00E01FAD">
      <w:pPr>
        <w:widowControl w:val="0"/>
        <w:autoSpaceDE w:val="0"/>
        <w:autoSpaceDN w:val="0"/>
        <w:adjustRightInd w:val="0"/>
        <w:jc w:val="both"/>
        <w:rPr>
          <w:sz w:val="20"/>
        </w:rPr>
      </w:pPr>
    </w:p>
    <w:p w:rsidR="001202C5" w:rsidRDefault="001202C5" w:rsidP="00E01FAD">
      <w:pPr>
        <w:widowControl w:val="0"/>
        <w:numPr>
          <w:ilvl w:val="0"/>
          <w:numId w:val="14"/>
        </w:numPr>
        <w:autoSpaceDE w:val="0"/>
        <w:autoSpaceDN w:val="0"/>
        <w:adjustRightInd w:val="0"/>
        <w:jc w:val="both"/>
      </w:pPr>
      <w:r w:rsidRPr="00B14530">
        <w:rPr>
          <w:b/>
        </w:rPr>
        <w:t>The appraisal cycle has been judged to be unsuccessful – no increment is awarded</w:t>
      </w:r>
      <w:r w:rsidDel="000553AA">
        <w:t xml:space="preserve"> </w:t>
      </w:r>
    </w:p>
    <w:p w:rsidR="001202C5" w:rsidRPr="002E0916" w:rsidRDefault="001202C5" w:rsidP="00E01FAD">
      <w:pPr>
        <w:widowControl w:val="0"/>
        <w:autoSpaceDE w:val="0"/>
        <w:autoSpaceDN w:val="0"/>
        <w:adjustRightInd w:val="0"/>
        <w:ind w:left="720"/>
        <w:jc w:val="both"/>
      </w:pPr>
      <w:r>
        <w:t>(</w:t>
      </w:r>
      <w:r w:rsidRPr="00B14530">
        <w:rPr>
          <w:i/>
        </w:rPr>
        <w:t>teacher has not demonstrated that they are competent in all the teacher standards and have not been judged as having a successful performance appraisal</w:t>
      </w:r>
      <w:r>
        <w:rPr>
          <w:i/>
        </w:rPr>
        <w:t>)</w:t>
      </w:r>
    </w:p>
    <w:p w:rsidR="001202C5" w:rsidRPr="007D6861" w:rsidRDefault="001202C5" w:rsidP="00E01FAD">
      <w:pPr>
        <w:widowControl w:val="0"/>
        <w:autoSpaceDE w:val="0"/>
        <w:autoSpaceDN w:val="0"/>
        <w:adjustRightInd w:val="0"/>
        <w:ind w:left="720"/>
        <w:jc w:val="both"/>
      </w:pPr>
    </w:p>
    <w:p w:rsidR="001202C5" w:rsidRPr="002E0916" w:rsidRDefault="001202C5" w:rsidP="00E01FAD">
      <w:pPr>
        <w:widowControl w:val="0"/>
        <w:autoSpaceDE w:val="0"/>
        <w:autoSpaceDN w:val="0"/>
        <w:adjustRightInd w:val="0"/>
        <w:ind w:left="720"/>
        <w:jc w:val="both"/>
      </w:pPr>
      <w:r w:rsidRPr="002E0916">
        <w:rPr>
          <w:sz w:val="32"/>
          <w:szCs w:val="32"/>
        </w:rPr>
        <w:t>*</w:t>
      </w:r>
      <w:r w:rsidRPr="002E0916">
        <w:t xml:space="preserve">A </w:t>
      </w:r>
      <w:r w:rsidRPr="007269BF">
        <w:rPr>
          <w:b/>
          <w:i/>
        </w:rPr>
        <w:t>“no progression”</w:t>
      </w:r>
      <w:r w:rsidRPr="002E0916">
        <w:t xml:space="preserve"> determination must not be made unless concerns about standards of performance have been raised in writing with the teacher during the annual appraisal cycle, and the concerns have not been sufficiently addressed through appropriate support provided by the school.</w:t>
      </w:r>
    </w:p>
    <w:p w:rsidR="001202C5" w:rsidRDefault="001202C5" w:rsidP="00E01FAD">
      <w:pPr>
        <w:widowControl w:val="0"/>
        <w:autoSpaceDE w:val="0"/>
        <w:autoSpaceDN w:val="0"/>
        <w:adjustRightInd w:val="0"/>
        <w:jc w:val="both"/>
      </w:pPr>
    </w:p>
    <w:p w:rsidR="001202C5" w:rsidRDefault="001202C5" w:rsidP="00E01FAD">
      <w:pPr>
        <w:widowControl w:val="0"/>
        <w:numPr>
          <w:ilvl w:val="0"/>
          <w:numId w:val="14"/>
        </w:numPr>
        <w:autoSpaceDE w:val="0"/>
        <w:autoSpaceDN w:val="0"/>
        <w:adjustRightInd w:val="0"/>
        <w:jc w:val="both"/>
      </w:pPr>
      <w:r w:rsidRPr="00B14530">
        <w:rPr>
          <w:b/>
        </w:rPr>
        <w:t>The appraisal cycle has been judged to be successful – an increment is payable</w:t>
      </w:r>
      <w:r w:rsidDel="000553AA">
        <w:t xml:space="preserve"> </w:t>
      </w:r>
      <w:r>
        <w:t>(</w:t>
      </w:r>
      <w:r w:rsidRPr="00B14530">
        <w:rPr>
          <w:i/>
        </w:rPr>
        <w:t>teacher has demonstrated that they are competent in all the teacher standards and have been judged as having a successful performance appraisal)</w:t>
      </w:r>
      <w:r>
        <w:t xml:space="preserve"> </w:t>
      </w:r>
    </w:p>
    <w:p w:rsidR="001202C5" w:rsidRDefault="001202C5" w:rsidP="00E01FAD">
      <w:pPr>
        <w:widowControl w:val="0"/>
        <w:autoSpaceDE w:val="0"/>
        <w:autoSpaceDN w:val="0"/>
        <w:adjustRightInd w:val="0"/>
        <w:jc w:val="both"/>
      </w:pPr>
    </w:p>
    <w:p w:rsidR="001202C5" w:rsidRDefault="001202C5" w:rsidP="00E01FAD">
      <w:pPr>
        <w:widowControl w:val="0"/>
        <w:numPr>
          <w:ilvl w:val="0"/>
          <w:numId w:val="14"/>
        </w:numPr>
        <w:autoSpaceDE w:val="0"/>
        <w:autoSpaceDN w:val="0"/>
        <w:adjustRightInd w:val="0"/>
        <w:jc w:val="both"/>
      </w:pPr>
      <w:r w:rsidRPr="00B14530">
        <w:rPr>
          <w:b/>
        </w:rPr>
        <w:t>The appraisal cycle has been judged to be successful, with exceptional performance - an increment is payable and consideration may be given to awarding an additional increment</w:t>
      </w:r>
      <w:r>
        <w:t xml:space="preserve"> </w:t>
      </w:r>
    </w:p>
    <w:p w:rsidR="001202C5" w:rsidRDefault="001202C5" w:rsidP="00E01FAD">
      <w:pPr>
        <w:widowControl w:val="0"/>
        <w:autoSpaceDE w:val="0"/>
        <w:autoSpaceDN w:val="0"/>
        <w:adjustRightInd w:val="0"/>
        <w:ind w:left="720"/>
        <w:jc w:val="both"/>
      </w:pPr>
      <w:r>
        <w:t>(</w:t>
      </w:r>
      <w:r w:rsidRPr="00B14530">
        <w:rPr>
          <w:i/>
        </w:rPr>
        <w:t>teacher has demonstrated that they are competent in all the teacher standards, have been judged as having a successful performance management, and performance has been exceptional</w:t>
      </w:r>
      <w:r>
        <w:rPr>
          <w:i/>
        </w:rPr>
        <w:t>)</w:t>
      </w:r>
      <w:r w:rsidRPr="00B14530">
        <w:rPr>
          <w:i/>
        </w:rPr>
        <w:t xml:space="preserve"> </w:t>
      </w:r>
      <w:r>
        <w:t xml:space="preserve"> </w:t>
      </w:r>
    </w:p>
    <w:p w:rsidR="001202C5" w:rsidRPr="00E21E0A" w:rsidRDefault="001202C5" w:rsidP="00E01FAD">
      <w:pPr>
        <w:widowControl w:val="0"/>
        <w:autoSpaceDE w:val="0"/>
        <w:autoSpaceDN w:val="0"/>
        <w:adjustRightInd w:val="0"/>
        <w:jc w:val="both"/>
      </w:pPr>
    </w:p>
    <w:p w:rsidR="001202C5" w:rsidRDefault="001202C5" w:rsidP="00E01FAD">
      <w:pPr>
        <w:widowControl w:val="0"/>
        <w:autoSpaceDE w:val="0"/>
        <w:autoSpaceDN w:val="0"/>
        <w:adjustRightInd w:val="0"/>
        <w:jc w:val="both"/>
      </w:pPr>
      <w:r w:rsidRPr="00E21E0A">
        <w:t>The assessments of performance will follow the performance management cycle as outlined in the agreed appraisal policy.</w:t>
      </w:r>
    </w:p>
    <w:p w:rsidR="001202C5" w:rsidRPr="00E21E0A" w:rsidRDefault="001202C5" w:rsidP="00E01FAD">
      <w:pPr>
        <w:widowControl w:val="0"/>
        <w:autoSpaceDE w:val="0"/>
        <w:autoSpaceDN w:val="0"/>
        <w:adjustRightInd w:val="0"/>
        <w:jc w:val="both"/>
      </w:pPr>
    </w:p>
    <w:p w:rsidR="001202C5" w:rsidRPr="00D521FF" w:rsidRDefault="001202C5" w:rsidP="00E01FAD">
      <w:pPr>
        <w:pStyle w:val="Heading2"/>
        <w:jc w:val="both"/>
      </w:pPr>
      <w:bookmarkStart w:id="21" w:name="_Toc502239781"/>
      <w:r w:rsidRPr="00D521FF">
        <w:t>Review &amp; Appeals</w:t>
      </w:r>
      <w:bookmarkEnd w:id="21"/>
    </w:p>
    <w:p w:rsidR="001202C5" w:rsidRPr="00D521FF" w:rsidRDefault="001202C5" w:rsidP="00E01FAD">
      <w:pPr>
        <w:widowControl w:val="0"/>
        <w:autoSpaceDE w:val="0"/>
        <w:autoSpaceDN w:val="0"/>
        <w:adjustRightInd w:val="0"/>
        <w:jc w:val="both"/>
      </w:pPr>
    </w:p>
    <w:p w:rsidR="001202C5" w:rsidRDefault="001202C5" w:rsidP="00E01FAD">
      <w:pPr>
        <w:widowControl w:val="0"/>
        <w:autoSpaceDE w:val="0"/>
        <w:autoSpaceDN w:val="0"/>
        <w:adjustRightInd w:val="0"/>
        <w:jc w:val="both"/>
      </w:pPr>
      <w:r w:rsidRPr="00D521FF">
        <w:t xml:space="preserve">Any member of staff seeking a reconsideration of a pay decision should first seek to resolve the matter informally through discussion with the decision-maker within 10 working days of notification of the decision. Where this is not possible, or the matter is still unresolved, staff may follow the formal grievance process by setting out their concerns in writing to the decision-maker within 10 working days of the notification of the decision or the outcome of the informal discussion. The committee or person who made the decision should </w:t>
      </w:r>
      <w:r>
        <w:t>arrange</w:t>
      </w:r>
      <w:r w:rsidRPr="00D521FF">
        <w:t xml:space="preserve"> a hearing within 10 working days to consider the staff member’s </w:t>
      </w:r>
      <w:r>
        <w:t>grievance</w:t>
      </w:r>
      <w:r w:rsidRPr="00D521FF">
        <w:t>s. He or she should be informed in writing of the decision and the right to appeal. The final appeal will be heard by the school’s Appeals committee.  Hearing</w:t>
      </w:r>
      <w:r>
        <w:t>s</w:t>
      </w:r>
      <w:r w:rsidRPr="00D521FF">
        <w:t xml:space="preserve"> will</w:t>
      </w:r>
      <w:r>
        <w:t xml:space="preserve"> follow</w:t>
      </w:r>
      <w:r w:rsidRPr="00D521FF">
        <w:t xml:space="preserve"> the standard grievance procedure. </w:t>
      </w:r>
    </w:p>
    <w:p w:rsidR="001202C5" w:rsidRDefault="001202C5" w:rsidP="00E01FAD">
      <w:pPr>
        <w:widowControl w:val="0"/>
        <w:autoSpaceDE w:val="0"/>
        <w:autoSpaceDN w:val="0"/>
        <w:adjustRightInd w:val="0"/>
        <w:jc w:val="both"/>
      </w:pPr>
    </w:p>
    <w:p w:rsidR="001202C5" w:rsidRPr="007D6861" w:rsidRDefault="001202C5" w:rsidP="00E01FAD">
      <w:pPr>
        <w:pStyle w:val="Heading2"/>
        <w:jc w:val="both"/>
      </w:pPr>
      <w:bookmarkStart w:id="22" w:name="_Toc502239782"/>
      <w:r>
        <w:t>Teachers on the Main Pay Range</w:t>
      </w:r>
      <w:bookmarkEnd w:id="22"/>
    </w:p>
    <w:p w:rsidR="001202C5" w:rsidRPr="007D6861" w:rsidRDefault="001202C5" w:rsidP="00E01FAD">
      <w:pPr>
        <w:widowControl w:val="0"/>
        <w:autoSpaceDE w:val="0"/>
        <w:autoSpaceDN w:val="0"/>
        <w:adjustRightInd w:val="0"/>
        <w:jc w:val="both"/>
        <w:rPr>
          <w:color w:val="0000FF"/>
          <w:sz w:val="20"/>
        </w:rPr>
      </w:pPr>
    </w:p>
    <w:p w:rsidR="001202C5" w:rsidRPr="007D6861" w:rsidRDefault="001202C5" w:rsidP="00E01FAD">
      <w:pPr>
        <w:widowControl w:val="0"/>
        <w:autoSpaceDE w:val="0"/>
        <w:autoSpaceDN w:val="0"/>
        <w:adjustRightInd w:val="0"/>
        <w:jc w:val="both"/>
      </w:pPr>
      <w:r>
        <w:t xml:space="preserve">The pay committee will use a scale with a range of points. The points on the main pay range in this school </w:t>
      </w:r>
      <w:r w:rsidRPr="00B14530">
        <w:t xml:space="preserve">can be found in appendix </w:t>
      </w:r>
      <w:r>
        <w:t>2</w:t>
      </w:r>
      <w:r w:rsidRPr="00B14530">
        <w:t>.</w:t>
      </w:r>
    </w:p>
    <w:p w:rsidR="001202C5" w:rsidRDefault="001202C5" w:rsidP="00E01FAD">
      <w:pPr>
        <w:widowControl w:val="0"/>
        <w:autoSpaceDE w:val="0"/>
        <w:autoSpaceDN w:val="0"/>
        <w:adjustRightInd w:val="0"/>
        <w:jc w:val="both"/>
        <w:rPr>
          <w:sz w:val="18"/>
          <w:highlight w:val="yellow"/>
        </w:rPr>
      </w:pPr>
    </w:p>
    <w:p w:rsidR="001202C5" w:rsidRDefault="001202C5" w:rsidP="00E01FAD">
      <w:pPr>
        <w:widowControl w:val="0"/>
        <w:autoSpaceDE w:val="0"/>
        <w:autoSpaceDN w:val="0"/>
        <w:adjustRightInd w:val="0"/>
        <w:jc w:val="both"/>
      </w:pPr>
      <w:r w:rsidRPr="00E21E0A">
        <w:t>To move up the</w:t>
      </w:r>
      <w:r>
        <w:t xml:space="preserve"> main pay range, teachers will have to be judged as having a successful performance appraisal. This includes competency in the Teachers’ Standards and good progress towards set objectives. Where</w:t>
      </w:r>
      <w:r w:rsidRPr="00E21E0A">
        <w:t xml:space="preserve"> </w:t>
      </w:r>
      <w:r>
        <w:t>there has been</w:t>
      </w:r>
      <w:r w:rsidRPr="00E21E0A">
        <w:t xml:space="preserve"> exceptional performance during the appraisal period, the </w:t>
      </w:r>
      <w:r w:rsidR="00A34DEE">
        <w:t>Governing Body/Trust Board</w:t>
      </w:r>
      <w:r w:rsidRPr="00E21E0A">
        <w:t xml:space="preserve"> will consider using its discretion </w:t>
      </w:r>
      <w:r>
        <w:t xml:space="preserve">and may </w:t>
      </w:r>
      <w:r w:rsidRPr="00E21E0A">
        <w:t xml:space="preserve">award enhanced pay progression. </w:t>
      </w:r>
      <w:r w:rsidRPr="00C345FD">
        <w:t>However where the</w:t>
      </w:r>
      <w:r>
        <w:t>re have been performance related</w:t>
      </w:r>
      <w:r w:rsidRPr="00C345FD">
        <w:t xml:space="preserve"> concerns </w:t>
      </w:r>
      <w:r>
        <w:t>raised with the teacher</w:t>
      </w:r>
      <w:r w:rsidRPr="00C345FD">
        <w:t xml:space="preserve"> </w:t>
      </w:r>
      <w:r>
        <w:t>(</w:t>
      </w:r>
      <w:r w:rsidRPr="00C345FD">
        <w:t>in writing</w:t>
      </w:r>
      <w:r>
        <w:t xml:space="preserve"> at the time</w:t>
      </w:r>
      <w:r w:rsidRPr="00057A91">
        <w:t xml:space="preserve">), </w:t>
      </w:r>
      <w:r w:rsidRPr="00E2640E">
        <w:t>and these have not been sufficiently addressed</w:t>
      </w:r>
      <w:r w:rsidRPr="00057A91">
        <w:t>,</w:t>
      </w:r>
      <w:r w:rsidRPr="00C345FD">
        <w:t xml:space="preserve"> the appraisal will be judged as unsuccessful</w:t>
      </w:r>
      <w:r>
        <w:t xml:space="preserve"> and no pay progression will be awarded</w:t>
      </w:r>
      <w:r w:rsidRPr="00C345FD">
        <w:t>.</w:t>
      </w:r>
      <w:r>
        <w:t xml:space="preserve"> See guidance document for information regarding extenuating circumstances. Where an individual has been unable to achieve a successful appraisal cycle and the reasons for this are beyond the control of the member of staff, or there have been extenuating circumstances, the </w:t>
      </w:r>
      <w:r w:rsidR="00A34DEE">
        <w:t>Governing Body/Trust Board</w:t>
      </w:r>
      <w:r>
        <w:t xml:space="preserve"> has the discretion to award an increment if they so wish.</w:t>
      </w:r>
    </w:p>
    <w:p w:rsidR="001202C5" w:rsidRPr="00E21E0A" w:rsidRDefault="001202C5" w:rsidP="00E01FAD">
      <w:pPr>
        <w:widowControl w:val="0"/>
        <w:autoSpaceDE w:val="0"/>
        <w:autoSpaceDN w:val="0"/>
        <w:adjustRightInd w:val="0"/>
        <w:jc w:val="both"/>
      </w:pPr>
    </w:p>
    <w:p w:rsidR="001202C5" w:rsidRPr="007D6861" w:rsidRDefault="001202C5" w:rsidP="00E01FAD">
      <w:pPr>
        <w:pStyle w:val="Heading2"/>
        <w:jc w:val="both"/>
      </w:pPr>
      <w:bookmarkStart w:id="23" w:name="_Toc502239783"/>
      <w:r>
        <w:t>Teachers on the Upper Pay Range</w:t>
      </w:r>
      <w:bookmarkEnd w:id="23"/>
      <w:r>
        <w:t xml:space="preserve"> </w:t>
      </w:r>
    </w:p>
    <w:p w:rsidR="001202C5" w:rsidRPr="007D6861" w:rsidRDefault="001202C5" w:rsidP="00E01FAD">
      <w:pPr>
        <w:widowControl w:val="0"/>
        <w:autoSpaceDE w:val="0"/>
        <w:autoSpaceDN w:val="0"/>
        <w:adjustRightInd w:val="0"/>
        <w:jc w:val="both"/>
        <w:rPr>
          <w:color w:val="0000FF"/>
        </w:rPr>
      </w:pPr>
    </w:p>
    <w:p w:rsidR="001202C5" w:rsidRPr="000722E0" w:rsidRDefault="001202C5" w:rsidP="00E01FAD">
      <w:pPr>
        <w:widowControl w:val="0"/>
        <w:autoSpaceDE w:val="0"/>
        <w:autoSpaceDN w:val="0"/>
        <w:adjustRightInd w:val="0"/>
        <w:jc w:val="both"/>
        <w:rPr>
          <w:highlight w:val="yellow"/>
        </w:rPr>
      </w:pPr>
      <w:r>
        <w:t xml:space="preserve">The pay committee will use points </w:t>
      </w:r>
      <w:r w:rsidRPr="00B14530">
        <w:t xml:space="preserve">which </w:t>
      </w:r>
      <w:r>
        <w:t>can be found in appendix 2.</w:t>
      </w:r>
    </w:p>
    <w:p w:rsidR="001202C5" w:rsidRPr="00E21E0A" w:rsidRDefault="001202C5" w:rsidP="00E01FAD">
      <w:pPr>
        <w:widowControl w:val="0"/>
        <w:autoSpaceDE w:val="0"/>
        <w:autoSpaceDN w:val="0"/>
        <w:adjustRightInd w:val="0"/>
        <w:jc w:val="both"/>
      </w:pPr>
    </w:p>
    <w:p w:rsidR="001202C5" w:rsidRPr="00E21E0A" w:rsidRDefault="001202C5" w:rsidP="00E01FAD">
      <w:pPr>
        <w:widowControl w:val="0"/>
        <w:autoSpaceDE w:val="0"/>
        <w:autoSpaceDN w:val="0"/>
        <w:adjustRightInd w:val="0"/>
        <w:jc w:val="both"/>
      </w:pPr>
      <w:r w:rsidRPr="00E21E0A">
        <w:t>When making a determination regarding a teacher</w:t>
      </w:r>
      <w:r>
        <w:t>’</w:t>
      </w:r>
      <w:r w:rsidRPr="00E21E0A">
        <w:t xml:space="preserve">s progression through the upper pay range, account will be taken of paragraph </w:t>
      </w:r>
      <w:r>
        <w:t>14</w:t>
      </w:r>
      <w:r w:rsidRPr="00E21E0A">
        <w:t xml:space="preserve"> </w:t>
      </w:r>
      <w:r>
        <w:t xml:space="preserve">of the </w:t>
      </w:r>
      <w:r w:rsidRPr="00E21E0A">
        <w:t>STPCD and the criteria set out in paragraph</w:t>
      </w:r>
      <w:r>
        <w:t>s 15.2, 19.1 and 19.2</w:t>
      </w:r>
      <w:r w:rsidRPr="00E21E0A">
        <w:t xml:space="preserve"> as well as</w:t>
      </w:r>
      <w:r>
        <w:t xml:space="preserve"> reference </w:t>
      </w:r>
      <w:r w:rsidRPr="00B610AC">
        <w:t>to</w:t>
      </w:r>
      <w:r>
        <w:t xml:space="preserve"> the teachers’ appraisal report</w:t>
      </w:r>
      <w:r w:rsidRPr="00B610AC">
        <w:t xml:space="preserve"> and the pay recommendation </w:t>
      </w:r>
      <w:r>
        <w:t xml:space="preserve">it </w:t>
      </w:r>
      <w:r w:rsidRPr="00B610AC">
        <w:t>contain</w:t>
      </w:r>
      <w:r>
        <w:t>s</w:t>
      </w:r>
      <w:r w:rsidRPr="00B610AC">
        <w:t>.</w:t>
      </w:r>
    </w:p>
    <w:p w:rsidR="001202C5" w:rsidRPr="00E21E0A" w:rsidRDefault="001202C5" w:rsidP="00E01FAD">
      <w:pPr>
        <w:widowControl w:val="0"/>
        <w:autoSpaceDE w:val="0"/>
        <w:autoSpaceDN w:val="0"/>
        <w:adjustRightInd w:val="0"/>
        <w:ind w:left="720"/>
        <w:jc w:val="both"/>
      </w:pPr>
    </w:p>
    <w:p w:rsidR="00E01FAD" w:rsidRDefault="00E01FAD" w:rsidP="00E01FAD">
      <w:pPr>
        <w:pStyle w:val="Heading2"/>
        <w:jc w:val="both"/>
      </w:pPr>
    </w:p>
    <w:p w:rsidR="001202C5" w:rsidRPr="00294B8F" w:rsidRDefault="001202C5" w:rsidP="00E01FAD">
      <w:pPr>
        <w:pStyle w:val="Heading2"/>
        <w:jc w:val="both"/>
      </w:pPr>
      <w:bookmarkStart w:id="24" w:name="_Toc502239784"/>
      <w:r w:rsidRPr="00294B8F">
        <w:t>Applications for the Upper Pay Range</w:t>
      </w:r>
      <w:bookmarkEnd w:id="24"/>
    </w:p>
    <w:p w:rsidR="001202C5" w:rsidRPr="00B610AC" w:rsidRDefault="001202C5" w:rsidP="00E01FAD">
      <w:pPr>
        <w:widowControl w:val="0"/>
        <w:autoSpaceDE w:val="0"/>
        <w:autoSpaceDN w:val="0"/>
        <w:adjustRightInd w:val="0"/>
        <w:jc w:val="both"/>
        <w:rPr>
          <w:b/>
        </w:rPr>
      </w:pPr>
    </w:p>
    <w:p w:rsidR="001202C5" w:rsidRPr="00B610AC" w:rsidRDefault="001202C5" w:rsidP="00E01FAD">
      <w:pPr>
        <w:widowControl w:val="0"/>
        <w:autoSpaceDE w:val="0"/>
        <w:autoSpaceDN w:val="0"/>
        <w:adjustRightInd w:val="0"/>
        <w:jc w:val="both"/>
      </w:pPr>
      <w:r w:rsidRPr="00B610AC">
        <w:t xml:space="preserve">Any teacher may apply to be paid on the </w:t>
      </w:r>
      <w:r>
        <w:t>Upper Pay R</w:t>
      </w:r>
      <w:r w:rsidRPr="00B610AC">
        <w:t xml:space="preserve">ange and any such application will be assessed in line with this policy. It is the responsibility of the teacher to decide whether or not they wish to apply to be </w:t>
      </w:r>
      <w:r>
        <w:t>paid on the Upper Pay R</w:t>
      </w:r>
      <w:r w:rsidRPr="00B610AC">
        <w:t xml:space="preserve">ange. Any teacher who is employed in more than one school may make an application to be paid on the </w:t>
      </w:r>
      <w:r>
        <w:t>Upper Pay R</w:t>
      </w:r>
      <w:r w:rsidRPr="00B610AC">
        <w:t xml:space="preserve">ange to each of the schools in which </w:t>
      </w:r>
      <w:r>
        <w:t>he or she</w:t>
      </w:r>
      <w:r w:rsidRPr="00B610AC">
        <w:t xml:space="preserve"> is employed. This school will not be bound by any pay decision made by another school. </w:t>
      </w:r>
    </w:p>
    <w:p w:rsidR="001202C5" w:rsidRDefault="001202C5" w:rsidP="00E01FAD">
      <w:pPr>
        <w:widowControl w:val="0"/>
        <w:autoSpaceDE w:val="0"/>
        <w:autoSpaceDN w:val="0"/>
        <w:adjustRightInd w:val="0"/>
        <w:jc w:val="both"/>
        <w:rPr>
          <w:sz w:val="21"/>
          <w:szCs w:val="21"/>
        </w:rPr>
      </w:pPr>
    </w:p>
    <w:p w:rsidR="001202C5" w:rsidRPr="00B610AC" w:rsidRDefault="001202C5" w:rsidP="00E01FAD">
      <w:pPr>
        <w:spacing w:after="120"/>
        <w:jc w:val="both"/>
      </w:pPr>
      <w:r w:rsidRPr="00B610AC">
        <w:t>It is recommended that Teachers will normally be considered for progression to the Upper Pay Range having reached the maximum point on the Main Pay Range. The Head Teacher will notify all teachers on Scale Points 5 and 6 of the Main Pay Range at the start of each school year that they may wish to apply for assessment.</w:t>
      </w:r>
    </w:p>
    <w:p w:rsidR="001202C5" w:rsidRPr="00B610AC" w:rsidRDefault="001202C5" w:rsidP="00E01FAD">
      <w:pPr>
        <w:widowControl w:val="0"/>
        <w:autoSpaceDE w:val="0"/>
        <w:autoSpaceDN w:val="0"/>
        <w:adjustRightInd w:val="0"/>
        <w:jc w:val="both"/>
      </w:pPr>
    </w:p>
    <w:p w:rsidR="001202C5" w:rsidRPr="00B610AC" w:rsidRDefault="001202C5" w:rsidP="00E01FAD">
      <w:pPr>
        <w:widowControl w:val="0"/>
        <w:autoSpaceDE w:val="0"/>
        <w:autoSpaceDN w:val="0"/>
        <w:adjustRightInd w:val="0"/>
        <w:jc w:val="both"/>
      </w:pPr>
      <w:r w:rsidRPr="00B610AC">
        <w:t>All applications should include the results of reviews or appraisals under the 201</w:t>
      </w:r>
      <w:r>
        <w:t>2</w:t>
      </w:r>
      <w:r w:rsidRPr="00B610AC">
        <w:t xml:space="preserve"> or 201</w:t>
      </w:r>
      <w:r>
        <w:t>3</w:t>
      </w:r>
      <w:r w:rsidRPr="00B610AC">
        <w:t xml:space="preserve"> regulations, including any recommendation on pay. In the event that this information is not available, a statement and summary of evidence designed to demonstrate that the applicant has met the assessment criteria can be provided by the applicant instead. </w:t>
      </w:r>
    </w:p>
    <w:p w:rsidR="001202C5" w:rsidRDefault="001202C5" w:rsidP="00E01FAD">
      <w:pPr>
        <w:widowControl w:val="0"/>
        <w:autoSpaceDE w:val="0"/>
        <w:autoSpaceDN w:val="0"/>
        <w:adjustRightInd w:val="0"/>
        <w:jc w:val="both"/>
        <w:rPr>
          <w:sz w:val="21"/>
          <w:szCs w:val="21"/>
        </w:rPr>
      </w:pPr>
    </w:p>
    <w:p w:rsidR="001202C5" w:rsidRDefault="001202C5" w:rsidP="00E01FAD">
      <w:pPr>
        <w:widowControl w:val="0"/>
        <w:autoSpaceDE w:val="0"/>
        <w:autoSpaceDN w:val="0"/>
        <w:adjustRightInd w:val="0"/>
        <w:jc w:val="both"/>
      </w:pPr>
      <w:r w:rsidRPr="00B610AC">
        <w:t xml:space="preserve">Applications to be paid on the </w:t>
      </w:r>
      <w:r>
        <w:t>Upper Pay R</w:t>
      </w:r>
      <w:r w:rsidRPr="00B610AC">
        <w:t xml:space="preserve">ange may be made once a year and must be made in writing, to the Head </w:t>
      </w:r>
      <w:r>
        <w:t>T</w:t>
      </w:r>
      <w:r w:rsidRPr="00B610AC">
        <w:t>eacher, no later than 31st October in any year</w:t>
      </w:r>
      <w:r>
        <w:t>:</w:t>
      </w:r>
    </w:p>
    <w:p w:rsidR="001202C5" w:rsidRPr="00B610AC" w:rsidRDefault="001202C5" w:rsidP="00E01FAD">
      <w:pPr>
        <w:widowControl w:val="0"/>
        <w:autoSpaceDE w:val="0"/>
        <w:autoSpaceDN w:val="0"/>
        <w:adjustRightInd w:val="0"/>
        <w:jc w:val="both"/>
      </w:pPr>
    </w:p>
    <w:p w:rsidR="001202C5" w:rsidRPr="007361CF" w:rsidRDefault="001202C5" w:rsidP="00E01FAD">
      <w:pPr>
        <w:widowControl w:val="0"/>
        <w:numPr>
          <w:ilvl w:val="0"/>
          <w:numId w:val="11"/>
        </w:numPr>
        <w:autoSpaceDE w:val="0"/>
        <w:autoSpaceDN w:val="0"/>
        <w:adjustRightInd w:val="0"/>
        <w:ind w:left="714" w:hanging="357"/>
        <w:jc w:val="both"/>
      </w:pPr>
      <w:r w:rsidRPr="00B610AC">
        <w:t>On the standard form provided in school *</w:t>
      </w:r>
    </w:p>
    <w:p w:rsidR="001202C5" w:rsidRPr="00B610AC" w:rsidRDefault="001202C5" w:rsidP="00E01FAD">
      <w:pPr>
        <w:widowControl w:val="0"/>
        <w:numPr>
          <w:ilvl w:val="0"/>
          <w:numId w:val="11"/>
        </w:numPr>
        <w:autoSpaceDE w:val="0"/>
        <w:autoSpaceDN w:val="0"/>
        <w:adjustRightInd w:val="0"/>
        <w:ind w:left="714" w:hanging="357"/>
        <w:jc w:val="both"/>
      </w:pPr>
      <w:r w:rsidRPr="00B610AC">
        <w:t>By letter *</w:t>
      </w:r>
    </w:p>
    <w:p w:rsidR="001202C5" w:rsidRPr="00B610AC" w:rsidRDefault="001202C5" w:rsidP="00E01FAD">
      <w:pPr>
        <w:widowControl w:val="0"/>
        <w:autoSpaceDE w:val="0"/>
        <w:autoSpaceDN w:val="0"/>
        <w:adjustRightInd w:val="0"/>
        <w:jc w:val="both"/>
      </w:pPr>
    </w:p>
    <w:p w:rsidR="001202C5" w:rsidRPr="00B610AC" w:rsidRDefault="001202C5" w:rsidP="00E01FAD">
      <w:pPr>
        <w:widowControl w:val="0"/>
        <w:autoSpaceDE w:val="0"/>
        <w:autoSpaceDN w:val="0"/>
        <w:adjustRightInd w:val="0"/>
        <w:jc w:val="both"/>
        <w:rPr>
          <w:i/>
        </w:rPr>
      </w:pPr>
      <w:r>
        <w:t>(*</w:t>
      </w:r>
      <w:r w:rsidRPr="00B610AC">
        <w:rPr>
          <w:i/>
        </w:rPr>
        <w:t>Please delete as necessary)</w:t>
      </w:r>
    </w:p>
    <w:p w:rsidR="001202C5" w:rsidRPr="00E21E0A" w:rsidRDefault="001202C5" w:rsidP="00E01FAD">
      <w:pPr>
        <w:widowControl w:val="0"/>
        <w:autoSpaceDE w:val="0"/>
        <w:autoSpaceDN w:val="0"/>
        <w:adjustRightInd w:val="0"/>
        <w:jc w:val="both"/>
      </w:pPr>
    </w:p>
    <w:p w:rsidR="001202C5" w:rsidRPr="007D6861" w:rsidRDefault="001202C5" w:rsidP="00E01FAD">
      <w:pPr>
        <w:pStyle w:val="Heading2"/>
        <w:jc w:val="both"/>
      </w:pPr>
      <w:bookmarkStart w:id="25" w:name="_Toc502239785"/>
      <w:r>
        <w:t>Unqualified Teachers Pay Range</w:t>
      </w:r>
      <w:bookmarkEnd w:id="25"/>
    </w:p>
    <w:p w:rsidR="001202C5" w:rsidRPr="007D6861" w:rsidRDefault="001202C5" w:rsidP="00E01FAD">
      <w:pPr>
        <w:widowControl w:val="0"/>
        <w:autoSpaceDE w:val="0"/>
        <w:autoSpaceDN w:val="0"/>
        <w:adjustRightInd w:val="0"/>
        <w:jc w:val="both"/>
      </w:pPr>
    </w:p>
    <w:p w:rsidR="001202C5" w:rsidRPr="007D6861" w:rsidRDefault="001202C5" w:rsidP="00E01FAD">
      <w:pPr>
        <w:widowControl w:val="0"/>
        <w:autoSpaceDE w:val="0"/>
        <w:autoSpaceDN w:val="0"/>
        <w:adjustRightInd w:val="0"/>
        <w:jc w:val="both"/>
      </w:pPr>
      <w:r>
        <w:t xml:space="preserve">The pay range determined for unqualified teachers </w:t>
      </w:r>
      <w:r w:rsidRPr="00B14530">
        <w:t xml:space="preserve">can be found in appendix </w:t>
      </w:r>
      <w:r>
        <w:t>2</w:t>
      </w:r>
      <w:r w:rsidRPr="00B14530">
        <w:t>.</w:t>
      </w:r>
      <w:r>
        <w:t xml:space="preserve"> </w:t>
      </w:r>
    </w:p>
    <w:p w:rsidR="001202C5" w:rsidRPr="00C90524" w:rsidRDefault="001202C5" w:rsidP="00E01FAD">
      <w:pPr>
        <w:widowControl w:val="0"/>
        <w:autoSpaceDE w:val="0"/>
        <w:autoSpaceDN w:val="0"/>
        <w:adjustRightInd w:val="0"/>
        <w:jc w:val="both"/>
        <w:rPr>
          <w:sz w:val="21"/>
          <w:szCs w:val="21"/>
        </w:rPr>
      </w:pPr>
    </w:p>
    <w:p w:rsidR="001202C5" w:rsidRPr="00E21E0A" w:rsidRDefault="001202C5" w:rsidP="00E01FAD">
      <w:pPr>
        <w:widowControl w:val="0"/>
        <w:autoSpaceDE w:val="0"/>
        <w:autoSpaceDN w:val="0"/>
        <w:adjustRightInd w:val="0"/>
        <w:jc w:val="both"/>
      </w:pPr>
      <w:r w:rsidRPr="00E21E0A">
        <w:t>In</w:t>
      </w:r>
      <w:r>
        <w:t xml:space="preserve"> order to progress through the Unqualified T</w:t>
      </w:r>
      <w:r w:rsidRPr="00E21E0A">
        <w:t>eachers pay range, the member of staff will have to show that they have made good progress towards their objectives. Judgements will be properly rooted in evidence. As unqualified teachers move up the scale, th</w:t>
      </w:r>
      <w:r>
        <w:t>i</w:t>
      </w:r>
      <w:r w:rsidRPr="00E21E0A">
        <w:t>s evidence should show:</w:t>
      </w:r>
    </w:p>
    <w:p w:rsidR="001202C5" w:rsidRPr="00E21E0A" w:rsidRDefault="001202C5" w:rsidP="00E01FAD">
      <w:pPr>
        <w:widowControl w:val="0"/>
        <w:autoSpaceDE w:val="0"/>
        <w:autoSpaceDN w:val="0"/>
        <w:adjustRightInd w:val="0"/>
        <w:jc w:val="both"/>
      </w:pPr>
    </w:p>
    <w:p w:rsidR="001202C5" w:rsidRPr="00E21E0A" w:rsidRDefault="001202C5" w:rsidP="00E01FAD">
      <w:pPr>
        <w:widowControl w:val="0"/>
        <w:numPr>
          <w:ilvl w:val="0"/>
          <w:numId w:val="12"/>
        </w:numPr>
        <w:tabs>
          <w:tab w:val="clear" w:pos="765"/>
        </w:tabs>
        <w:autoSpaceDE w:val="0"/>
        <w:autoSpaceDN w:val="0"/>
        <w:adjustRightInd w:val="0"/>
        <w:ind w:left="0" w:firstLine="405"/>
        <w:jc w:val="both"/>
      </w:pPr>
      <w:r w:rsidRPr="00E21E0A">
        <w:t>an improvement in teaching skills</w:t>
      </w:r>
    </w:p>
    <w:p w:rsidR="001202C5" w:rsidRPr="00E21E0A" w:rsidRDefault="001202C5" w:rsidP="00E01FAD">
      <w:pPr>
        <w:widowControl w:val="0"/>
        <w:numPr>
          <w:ilvl w:val="0"/>
          <w:numId w:val="12"/>
        </w:numPr>
        <w:autoSpaceDE w:val="0"/>
        <w:autoSpaceDN w:val="0"/>
        <w:adjustRightInd w:val="0"/>
        <w:jc w:val="both"/>
      </w:pPr>
      <w:r w:rsidRPr="00E21E0A">
        <w:t>an increasing impact on pupil progress</w:t>
      </w:r>
    </w:p>
    <w:p w:rsidR="001202C5" w:rsidRPr="00E21E0A" w:rsidRDefault="001202C5" w:rsidP="00E01FAD">
      <w:pPr>
        <w:widowControl w:val="0"/>
        <w:numPr>
          <w:ilvl w:val="0"/>
          <w:numId w:val="12"/>
        </w:numPr>
        <w:autoSpaceDE w:val="0"/>
        <w:autoSpaceDN w:val="0"/>
        <w:adjustRightInd w:val="0"/>
        <w:jc w:val="both"/>
      </w:pPr>
      <w:r w:rsidRPr="00E21E0A">
        <w:t>an increasing impact on wider outcomes for children</w:t>
      </w:r>
    </w:p>
    <w:p w:rsidR="001202C5" w:rsidRPr="00E21E0A" w:rsidRDefault="001202C5" w:rsidP="00E01FAD">
      <w:pPr>
        <w:widowControl w:val="0"/>
        <w:numPr>
          <w:ilvl w:val="0"/>
          <w:numId w:val="12"/>
        </w:numPr>
        <w:autoSpaceDE w:val="0"/>
        <w:autoSpaceDN w:val="0"/>
        <w:adjustRightInd w:val="0"/>
        <w:jc w:val="both"/>
      </w:pPr>
      <w:r w:rsidRPr="00E21E0A">
        <w:t>improvements in specific elements of practice identified to the teacher</w:t>
      </w:r>
    </w:p>
    <w:p w:rsidR="001202C5" w:rsidRPr="00E21E0A" w:rsidRDefault="001202C5" w:rsidP="00E01FAD">
      <w:pPr>
        <w:widowControl w:val="0"/>
        <w:numPr>
          <w:ilvl w:val="0"/>
          <w:numId w:val="12"/>
        </w:numPr>
        <w:autoSpaceDE w:val="0"/>
        <w:autoSpaceDN w:val="0"/>
        <w:adjustRightInd w:val="0"/>
        <w:jc w:val="both"/>
      </w:pPr>
      <w:r w:rsidRPr="00E21E0A">
        <w:t>an increasing contribution to the work of the school</w:t>
      </w:r>
    </w:p>
    <w:p w:rsidR="001202C5" w:rsidRPr="00E21E0A" w:rsidRDefault="001202C5" w:rsidP="00E01FAD">
      <w:pPr>
        <w:widowControl w:val="0"/>
        <w:autoSpaceDE w:val="0"/>
        <w:autoSpaceDN w:val="0"/>
        <w:adjustRightInd w:val="0"/>
        <w:jc w:val="both"/>
      </w:pPr>
    </w:p>
    <w:p w:rsidR="001202C5" w:rsidRPr="00D521FF" w:rsidRDefault="001202C5" w:rsidP="00E01FAD">
      <w:pPr>
        <w:pStyle w:val="Heading2"/>
        <w:jc w:val="both"/>
      </w:pPr>
      <w:bookmarkStart w:id="26" w:name="_Toc502239786"/>
      <w:r w:rsidRPr="00D521FF">
        <w:t>Leading Practitioners</w:t>
      </w:r>
      <w:r>
        <w:t xml:space="preserve"> Pay Range</w:t>
      </w:r>
      <w:bookmarkEnd w:id="26"/>
    </w:p>
    <w:p w:rsidR="001202C5" w:rsidRPr="00E21E0A" w:rsidRDefault="001202C5" w:rsidP="00E01FAD">
      <w:pPr>
        <w:widowControl w:val="0"/>
        <w:autoSpaceDE w:val="0"/>
        <w:autoSpaceDN w:val="0"/>
        <w:adjustRightInd w:val="0"/>
        <w:jc w:val="both"/>
      </w:pPr>
    </w:p>
    <w:p w:rsidR="001202C5" w:rsidRPr="00B610AC" w:rsidRDefault="001202C5" w:rsidP="00E01FAD">
      <w:pPr>
        <w:widowControl w:val="0"/>
        <w:autoSpaceDE w:val="0"/>
        <w:autoSpaceDN w:val="0"/>
        <w:adjustRightInd w:val="0"/>
        <w:jc w:val="both"/>
      </w:pPr>
      <w:r>
        <w:t>See appendix 2 for t</w:t>
      </w:r>
      <w:r w:rsidRPr="00B610AC">
        <w:t xml:space="preserve">he </w:t>
      </w:r>
      <w:r>
        <w:t>pay range for Leading Practitioner posts paid on the Leading P</w:t>
      </w:r>
      <w:r w:rsidRPr="00B610AC">
        <w:t>ractitioner pay range</w:t>
      </w:r>
      <w:r>
        <w:t>.</w:t>
      </w:r>
    </w:p>
    <w:p w:rsidR="001202C5" w:rsidRDefault="001202C5" w:rsidP="00E01FAD">
      <w:pPr>
        <w:widowControl w:val="0"/>
        <w:autoSpaceDE w:val="0"/>
        <w:autoSpaceDN w:val="0"/>
        <w:adjustRightInd w:val="0"/>
        <w:jc w:val="both"/>
      </w:pPr>
    </w:p>
    <w:p w:rsidR="001202C5" w:rsidRPr="00E21E0A" w:rsidRDefault="001202C5" w:rsidP="00E01FAD">
      <w:pPr>
        <w:widowControl w:val="0"/>
        <w:autoSpaceDE w:val="0"/>
        <w:autoSpaceDN w:val="0"/>
        <w:adjustRightInd w:val="0"/>
        <w:jc w:val="both"/>
      </w:pPr>
      <w:r w:rsidRPr="00E21E0A">
        <w:t xml:space="preserve">The pay committee </w:t>
      </w:r>
      <w:r>
        <w:t xml:space="preserve">will have regard </w:t>
      </w:r>
      <w:r w:rsidRPr="00E01FAD">
        <w:t xml:space="preserve">to </w:t>
      </w:r>
      <w:r w:rsidRPr="0026482B">
        <w:t>paragraph 16 of the STPCD</w:t>
      </w:r>
      <w:r w:rsidRPr="00E21E0A">
        <w:t xml:space="preserve"> when making a determination in relation to pay progression for a Leading Practitioner. As well as having made good progress with their objectives, a </w:t>
      </w:r>
      <w:r>
        <w:t>Leading P</w:t>
      </w:r>
      <w:r w:rsidRPr="00E21E0A">
        <w:t>ractitioner must also be able to demonstrate:</w:t>
      </w:r>
    </w:p>
    <w:p w:rsidR="001202C5" w:rsidRPr="00E21E0A" w:rsidRDefault="001202C5" w:rsidP="00E01FAD">
      <w:pPr>
        <w:widowControl w:val="0"/>
        <w:autoSpaceDE w:val="0"/>
        <w:autoSpaceDN w:val="0"/>
        <w:adjustRightInd w:val="0"/>
        <w:jc w:val="both"/>
      </w:pPr>
    </w:p>
    <w:p w:rsidR="001202C5" w:rsidRPr="006A0C5F" w:rsidRDefault="001202C5" w:rsidP="00E01FAD">
      <w:pPr>
        <w:widowControl w:val="0"/>
        <w:numPr>
          <w:ilvl w:val="0"/>
          <w:numId w:val="13"/>
        </w:numPr>
        <w:autoSpaceDE w:val="0"/>
        <w:autoSpaceDN w:val="0"/>
        <w:adjustRightInd w:val="0"/>
        <w:jc w:val="both"/>
      </w:pPr>
      <w:r w:rsidRPr="00E21E0A">
        <w:t>that they are an exemplar of teaching skills, which should impact significantly on pupil progress, within school and the wider community, if relevant</w:t>
      </w:r>
    </w:p>
    <w:p w:rsidR="001202C5" w:rsidRPr="006A0C5F" w:rsidRDefault="001202C5" w:rsidP="00E01FAD">
      <w:pPr>
        <w:widowControl w:val="0"/>
        <w:numPr>
          <w:ilvl w:val="0"/>
          <w:numId w:val="13"/>
        </w:numPr>
        <w:autoSpaceDE w:val="0"/>
        <w:autoSpaceDN w:val="0"/>
        <w:adjustRightInd w:val="0"/>
        <w:jc w:val="both"/>
      </w:pPr>
      <w:r w:rsidRPr="00E21E0A">
        <w:t>that they have made substantial impact on the effectiveness of staff and colleagues, including any specific elements of teaching practice that has been highlighted as in need of improvement</w:t>
      </w:r>
    </w:p>
    <w:p w:rsidR="001202C5" w:rsidRPr="006A0C5F" w:rsidRDefault="001202C5" w:rsidP="00E01FAD">
      <w:pPr>
        <w:widowControl w:val="0"/>
        <w:numPr>
          <w:ilvl w:val="0"/>
          <w:numId w:val="13"/>
        </w:numPr>
        <w:autoSpaceDE w:val="0"/>
        <w:autoSpaceDN w:val="0"/>
        <w:adjustRightInd w:val="0"/>
        <w:jc w:val="both"/>
      </w:pPr>
      <w:r w:rsidRPr="00E21E0A">
        <w:t xml:space="preserve">that they are highly competent in all aspects of  </w:t>
      </w:r>
      <w:r>
        <w:t>T</w:t>
      </w:r>
      <w:r w:rsidRPr="00E21E0A">
        <w:t>eachers</w:t>
      </w:r>
      <w:r>
        <w:t>’</w:t>
      </w:r>
      <w:r w:rsidRPr="00E21E0A">
        <w:t xml:space="preserve"> </w:t>
      </w:r>
      <w:r>
        <w:t>S</w:t>
      </w:r>
      <w:r w:rsidRPr="00E21E0A">
        <w:t>tandards</w:t>
      </w:r>
    </w:p>
    <w:p w:rsidR="001202C5" w:rsidRPr="00E21E0A" w:rsidRDefault="001202C5" w:rsidP="00E01FAD">
      <w:pPr>
        <w:widowControl w:val="0"/>
        <w:numPr>
          <w:ilvl w:val="0"/>
          <w:numId w:val="13"/>
        </w:numPr>
        <w:autoSpaceDE w:val="0"/>
        <w:autoSpaceDN w:val="0"/>
        <w:adjustRightInd w:val="0"/>
        <w:jc w:val="both"/>
      </w:pPr>
      <w:r w:rsidRPr="00E21E0A">
        <w:t>that they have shown strong leadership in developing, implementing and evaluating policies and practice in their workplace that have contributed to school improvement</w:t>
      </w:r>
    </w:p>
    <w:p w:rsidR="001202C5" w:rsidRPr="00E21E0A" w:rsidRDefault="001202C5" w:rsidP="00E01FAD">
      <w:pPr>
        <w:widowControl w:val="0"/>
        <w:autoSpaceDE w:val="0"/>
        <w:autoSpaceDN w:val="0"/>
        <w:adjustRightInd w:val="0"/>
        <w:ind w:left="360"/>
        <w:jc w:val="both"/>
      </w:pPr>
    </w:p>
    <w:p w:rsidR="001202C5" w:rsidRPr="0077380F" w:rsidRDefault="001202C5" w:rsidP="00E01FAD">
      <w:pPr>
        <w:widowControl w:val="0"/>
        <w:autoSpaceDE w:val="0"/>
        <w:autoSpaceDN w:val="0"/>
        <w:adjustRightInd w:val="0"/>
        <w:jc w:val="both"/>
      </w:pPr>
      <w:r w:rsidRPr="00E21E0A">
        <w:t>The pay committee may consider enhanced pay progression for exceptional performance</w:t>
      </w:r>
      <w:r>
        <w:t>.</w:t>
      </w:r>
    </w:p>
    <w:p w:rsidR="004E63A0" w:rsidRDefault="004E63A0" w:rsidP="00E01FAD">
      <w:pPr>
        <w:pStyle w:val="Heading2"/>
        <w:jc w:val="both"/>
      </w:pPr>
    </w:p>
    <w:p w:rsidR="001202C5" w:rsidRPr="00D521FF" w:rsidRDefault="001202C5" w:rsidP="00E01FAD">
      <w:pPr>
        <w:pStyle w:val="Heading2"/>
        <w:jc w:val="both"/>
      </w:pPr>
      <w:bookmarkStart w:id="27" w:name="_Toc502239787"/>
      <w:r w:rsidRPr="00D521FF">
        <w:t>Leadership Group Pay</w:t>
      </w:r>
      <w:bookmarkEnd w:id="27"/>
      <w:r w:rsidRPr="00D521FF">
        <w:t xml:space="preserve"> </w:t>
      </w:r>
    </w:p>
    <w:p w:rsidR="001202C5" w:rsidRPr="00B610AC" w:rsidRDefault="001202C5" w:rsidP="00E01FAD">
      <w:pPr>
        <w:widowControl w:val="0"/>
        <w:autoSpaceDE w:val="0"/>
        <w:autoSpaceDN w:val="0"/>
        <w:adjustRightInd w:val="0"/>
        <w:jc w:val="both"/>
        <w:rPr>
          <w:b/>
        </w:rPr>
      </w:pPr>
    </w:p>
    <w:p w:rsidR="001202C5" w:rsidRPr="00B610AC" w:rsidRDefault="001202C5" w:rsidP="00E01FAD">
      <w:pPr>
        <w:widowControl w:val="0"/>
        <w:autoSpaceDE w:val="0"/>
        <w:autoSpaceDN w:val="0"/>
        <w:adjustRightInd w:val="0"/>
        <w:jc w:val="both"/>
      </w:pPr>
      <w:r w:rsidRPr="00B610AC">
        <w:t xml:space="preserve">The </w:t>
      </w:r>
      <w:r w:rsidR="00A34DEE">
        <w:t>Governing Body/Trust Board</w:t>
      </w:r>
      <w:r w:rsidRPr="00B610AC">
        <w:t xml:space="preserve"> will </w:t>
      </w:r>
      <w:r>
        <w:t>apply a three stage process when setting the pay for new appointments to Headship or wider leadership team posts. (See Part 2 of the STPCD for more information on the three step process).</w:t>
      </w:r>
      <w:r w:rsidRPr="00B610AC">
        <w:t xml:space="preserve"> </w:t>
      </w:r>
    </w:p>
    <w:p w:rsidR="001202C5" w:rsidRPr="001202C5" w:rsidRDefault="001202C5" w:rsidP="00E01FAD">
      <w:pPr>
        <w:pStyle w:val="Heading1"/>
        <w:jc w:val="both"/>
      </w:pPr>
      <w:bookmarkStart w:id="28" w:name="_Toc502239788"/>
      <w:r w:rsidRPr="001202C5">
        <w:t>Discretionary Payments</w:t>
      </w:r>
      <w:bookmarkEnd w:id="28"/>
    </w:p>
    <w:p w:rsidR="001202C5" w:rsidRDefault="001202C5" w:rsidP="00E01FAD">
      <w:pPr>
        <w:pStyle w:val="Heading2"/>
        <w:jc w:val="both"/>
      </w:pPr>
      <w:r w:rsidRPr="00B610AC">
        <w:br/>
      </w:r>
      <w:bookmarkStart w:id="29" w:name="_Toc502239789"/>
      <w:r w:rsidRPr="00D521FF">
        <w:t>Discretionary Payments (on appointment)</w:t>
      </w:r>
      <w:bookmarkEnd w:id="29"/>
    </w:p>
    <w:p w:rsidR="001202C5" w:rsidRPr="00D521FF" w:rsidRDefault="001202C5" w:rsidP="00E01FAD">
      <w:pPr>
        <w:widowControl w:val="0"/>
        <w:autoSpaceDE w:val="0"/>
        <w:autoSpaceDN w:val="0"/>
        <w:adjustRightInd w:val="0"/>
        <w:jc w:val="both"/>
        <w:rPr>
          <w:b/>
        </w:rPr>
      </w:pPr>
    </w:p>
    <w:p w:rsidR="001202C5" w:rsidRDefault="001202C5" w:rsidP="00E01FAD">
      <w:pPr>
        <w:widowControl w:val="0"/>
        <w:autoSpaceDE w:val="0"/>
        <w:autoSpaceDN w:val="0"/>
        <w:adjustRightInd w:val="0"/>
        <w:jc w:val="both"/>
      </w:pPr>
      <w:r>
        <w:t>There is no</w:t>
      </w:r>
      <w:r w:rsidRPr="00B610AC">
        <w:t xml:space="preserve"> requirement for the </w:t>
      </w:r>
      <w:r w:rsidR="00A34DEE">
        <w:t>Governing Body/Trust Board</w:t>
      </w:r>
      <w:r w:rsidRPr="00B610AC">
        <w:t xml:space="preserve"> to consider awarding discretionary points to a newly appointed </w:t>
      </w:r>
      <w:r>
        <w:t xml:space="preserve">classroom </w:t>
      </w:r>
      <w:r w:rsidRPr="00B610AC">
        <w:t>teacher</w:t>
      </w:r>
      <w:r>
        <w:t xml:space="preserve"> (whether NQT, main scale, upper pay scale)</w:t>
      </w:r>
      <w:r w:rsidRPr="00B610AC">
        <w:t xml:space="preserve"> but they will be used to recognise prior experience and secure the best candidates. </w:t>
      </w:r>
    </w:p>
    <w:p w:rsidR="001202C5" w:rsidRDefault="001202C5" w:rsidP="00E01FAD">
      <w:pPr>
        <w:widowControl w:val="0"/>
        <w:autoSpaceDE w:val="0"/>
        <w:autoSpaceDN w:val="0"/>
        <w:adjustRightInd w:val="0"/>
        <w:jc w:val="both"/>
      </w:pPr>
    </w:p>
    <w:p w:rsidR="001202C5" w:rsidRDefault="001202C5" w:rsidP="00E01FAD">
      <w:pPr>
        <w:pStyle w:val="Heading2"/>
        <w:jc w:val="both"/>
      </w:pPr>
      <w:bookmarkStart w:id="30" w:name="_Toc502239790"/>
      <w:r w:rsidRPr="00A14ACA">
        <w:t>Discretionary Payments (current employees)</w:t>
      </w:r>
      <w:bookmarkEnd w:id="30"/>
    </w:p>
    <w:p w:rsidR="001202C5" w:rsidRPr="00A14ACA" w:rsidRDefault="001202C5" w:rsidP="00E01FAD">
      <w:pPr>
        <w:widowControl w:val="0"/>
        <w:autoSpaceDE w:val="0"/>
        <w:autoSpaceDN w:val="0"/>
        <w:adjustRightInd w:val="0"/>
        <w:jc w:val="both"/>
      </w:pPr>
    </w:p>
    <w:p w:rsidR="001202C5" w:rsidRPr="00A14ACA" w:rsidRDefault="001202C5" w:rsidP="00E01FAD">
      <w:pPr>
        <w:widowControl w:val="0"/>
        <w:autoSpaceDE w:val="0"/>
        <w:autoSpaceDN w:val="0"/>
        <w:adjustRightInd w:val="0"/>
        <w:jc w:val="both"/>
        <w:rPr>
          <w:sz w:val="21"/>
          <w:szCs w:val="21"/>
        </w:rPr>
      </w:pPr>
      <w:r w:rsidRPr="00A14ACA">
        <w:t xml:space="preserve">Existing; previously agreed; discretionary pay arrangements under the previous pay policy will continue until such time as there may be significant changes in responsibility. The </w:t>
      </w:r>
      <w:r w:rsidR="00A34DEE">
        <w:t>Governing Body/Trust Board</w:t>
      </w:r>
      <w:r w:rsidRPr="00A14ACA">
        <w:t xml:space="preserve"> will review the level of payments annually</w:t>
      </w:r>
      <w:r w:rsidRPr="00A14ACA">
        <w:rPr>
          <w:sz w:val="21"/>
          <w:szCs w:val="21"/>
        </w:rPr>
        <w:t>.</w:t>
      </w:r>
    </w:p>
    <w:p w:rsidR="001202C5" w:rsidRDefault="001202C5" w:rsidP="00E01FAD">
      <w:pPr>
        <w:widowControl w:val="0"/>
        <w:autoSpaceDE w:val="0"/>
        <w:autoSpaceDN w:val="0"/>
        <w:adjustRightInd w:val="0"/>
        <w:jc w:val="both"/>
        <w:rPr>
          <w:b/>
        </w:rPr>
      </w:pPr>
    </w:p>
    <w:p w:rsidR="001202C5" w:rsidRPr="00D809FD" w:rsidRDefault="001202C5" w:rsidP="00E01FAD">
      <w:pPr>
        <w:pStyle w:val="Heading2"/>
        <w:jc w:val="both"/>
      </w:pPr>
      <w:bookmarkStart w:id="31" w:name="_Toc502239791"/>
      <w:r w:rsidRPr="00D809FD">
        <w:t>Leading Practitioner</w:t>
      </w:r>
      <w:bookmarkEnd w:id="31"/>
    </w:p>
    <w:p w:rsidR="001202C5" w:rsidRPr="00B610AC" w:rsidRDefault="001202C5" w:rsidP="00E01FAD">
      <w:pPr>
        <w:widowControl w:val="0"/>
        <w:autoSpaceDE w:val="0"/>
        <w:autoSpaceDN w:val="0"/>
        <w:adjustRightInd w:val="0"/>
        <w:jc w:val="both"/>
        <w:rPr>
          <w:b/>
        </w:rPr>
      </w:pPr>
    </w:p>
    <w:p w:rsidR="001202C5" w:rsidRPr="00B610AC" w:rsidRDefault="001202C5" w:rsidP="00E01FAD">
      <w:pPr>
        <w:widowControl w:val="0"/>
        <w:autoSpaceDE w:val="0"/>
        <w:autoSpaceDN w:val="0"/>
        <w:adjustRightInd w:val="0"/>
        <w:jc w:val="both"/>
        <w:rPr>
          <w:i/>
        </w:rPr>
      </w:pPr>
      <w:r w:rsidRPr="00B610AC">
        <w:t xml:space="preserve">The </w:t>
      </w:r>
      <w:r w:rsidR="00A34DEE">
        <w:t>Governing Body/Trust Board</w:t>
      </w:r>
      <w:r w:rsidRPr="00B610AC">
        <w:t xml:space="preserve"> will take account of </w:t>
      </w:r>
      <w:r w:rsidRPr="0026482B">
        <w:t>paragraph 16</w:t>
      </w:r>
      <w:r>
        <w:t xml:space="preserve"> </w:t>
      </w:r>
      <w:r w:rsidRPr="00B610AC">
        <w:t xml:space="preserve">of the STPCD when determining the </w:t>
      </w:r>
      <w:r>
        <w:t>pay range</w:t>
      </w:r>
      <w:r w:rsidRPr="00B610AC">
        <w:t xml:space="preserve"> of </w:t>
      </w:r>
      <w:r>
        <w:t xml:space="preserve">a </w:t>
      </w:r>
      <w:r w:rsidRPr="00B610AC">
        <w:t xml:space="preserve">Leading Practitioner in this school. </w:t>
      </w:r>
      <w:r>
        <w:t>All Leading P</w:t>
      </w:r>
      <w:r w:rsidRPr="00B610AC">
        <w:t>ractitioners will be assigned additional duties commensurate with the pay awarded.</w:t>
      </w:r>
      <w:r w:rsidRPr="00B610AC">
        <w:rPr>
          <w:i/>
        </w:rPr>
        <w:t xml:space="preserve"> </w:t>
      </w:r>
    </w:p>
    <w:p w:rsidR="001202C5" w:rsidRPr="00B610AC" w:rsidRDefault="001202C5" w:rsidP="00E01FAD">
      <w:pPr>
        <w:widowControl w:val="0"/>
        <w:autoSpaceDE w:val="0"/>
        <w:autoSpaceDN w:val="0"/>
        <w:adjustRightInd w:val="0"/>
        <w:jc w:val="both"/>
      </w:pPr>
    </w:p>
    <w:p w:rsidR="001202C5" w:rsidRDefault="001202C5" w:rsidP="00E01FAD">
      <w:pPr>
        <w:widowControl w:val="0"/>
        <w:autoSpaceDE w:val="0"/>
        <w:autoSpaceDN w:val="0"/>
        <w:adjustRightInd w:val="0"/>
        <w:jc w:val="both"/>
      </w:pPr>
      <w:r w:rsidRPr="00B610AC">
        <w:t>Such posts may be established for teachers whose primary purpose is the modelling and leading improvement of teaching skills, where those duties fall outside of the criteria for the TLR payment structure.</w:t>
      </w:r>
    </w:p>
    <w:p w:rsidR="001202C5" w:rsidRDefault="001202C5" w:rsidP="00E01FAD">
      <w:pPr>
        <w:widowControl w:val="0"/>
        <w:autoSpaceDE w:val="0"/>
        <w:autoSpaceDN w:val="0"/>
        <w:adjustRightInd w:val="0"/>
        <w:jc w:val="both"/>
      </w:pPr>
    </w:p>
    <w:p w:rsidR="001202C5" w:rsidRPr="00443665" w:rsidRDefault="001202C5" w:rsidP="00E01FAD">
      <w:pPr>
        <w:widowControl w:val="0"/>
        <w:autoSpaceDE w:val="0"/>
        <w:autoSpaceDN w:val="0"/>
        <w:adjustRightInd w:val="0"/>
        <w:jc w:val="both"/>
      </w:pPr>
      <w:r w:rsidRPr="00E01FAD">
        <w:t>Except for those employed on the pay range for leading practitioners, who may be required to carry out this duty, teachers undertaking school-based ITT activities do so on an entirely voluntary basis. Such activities might include supervising and observing teaching practice; giving feedback to students on their performance and acting as professional mentors; running seminars or tutorials on aspects of the course; and formally assessing students' competence.</w:t>
      </w:r>
    </w:p>
    <w:p w:rsidR="001202C5" w:rsidRPr="00274F81" w:rsidRDefault="001202C5" w:rsidP="00E01FAD">
      <w:pPr>
        <w:widowControl w:val="0"/>
        <w:autoSpaceDE w:val="0"/>
        <w:autoSpaceDN w:val="0"/>
        <w:adjustRightInd w:val="0"/>
        <w:jc w:val="both"/>
      </w:pPr>
    </w:p>
    <w:p w:rsidR="001202C5" w:rsidRPr="00D521FF" w:rsidRDefault="001202C5" w:rsidP="00E01FAD">
      <w:pPr>
        <w:pStyle w:val="Heading2"/>
        <w:jc w:val="both"/>
      </w:pPr>
      <w:bookmarkStart w:id="32" w:name="_Toc502239792"/>
      <w:r w:rsidRPr="00D521FF">
        <w:t>Unqualified Teachers</w:t>
      </w:r>
      <w:bookmarkEnd w:id="32"/>
    </w:p>
    <w:p w:rsidR="001202C5" w:rsidRPr="00274F81" w:rsidRDefault="001202C5" w:rsidP="00E01FAD">
      <w:pPr>
        <w:widowControl w:val="0"/>
        <w:autoSpaceDE w:val="0"/>
        <w:autoSpaceDN w:val="0"/>
        <w:adjustRightInd w:val="0"/>
        <w:jc w:val="both"/>
        <w:rPr>
          <w:b/>
        </w:rPr>
      </w:pPr>
    </w:p>
    <w:p w:rsidR="001202C5" w:rsidRPr="00274F81" w:rsidRDefault="001202C5" w:rsidP="00E01FAD">
      <w:pPr>
        <w:widowControl w:val="0"/>
        <w:autoSpaceDE w:val="0"/>
        <w:autoSpaceDN w:val="0"/>
        <w:adjustRightInd w:val="0"/>
        <w:jc w:val="both"/>
      </w:pPr>
      <w:r w:rsidRPr="00274F81">
        <w:t xml:space="preserve">The </w:t>
      </w:r>
      <w:r w:rsidR="00A34DEE">
        <w:t>Governing Body/Trust Board</w:t>
      </w:r>
      <w:r w:rsidRPr="00274F81">
        <w:t xml:space="preserve"> will pay an unqualified teacher in accordance with </w:t>
      </w:r>
      <w:r w:rsidRPr="0026482B">
        <w:t>paragraph 17</w:t>
      </w:r>
      <w:r w:rsidRPr="00274F81">
        <w:t xml:space="preserve"> of the STPCD. A determination will be made as to where on the unqualified teacher range a newly appointed unqualified teacher will be placed on commencement with the school. The </w:t>
      </w:r>
      <w:r w:rsidR="00A34DEE">
        <w:t>Governing Body/Trust Board</w:t>
      </w:r>
      <w:r w:rsidRPr="00274F81">
        <w:t xml:space="preserve"> will also consider whether or not to award an additional allowance as set out in </w:t>
      </w:r>
      <w:r w:rsidRPr="0026482B">
        <w:t>paragraph 22</w:t>
      </w:r>
      <w:r w:rsidRPr="00274F81">
        <w:t xml:space="preserve"> of the STPCD.</w:t>
      </w:r>
    </w:p>
    <w:p w:rsidR="001202C5" w:rsidRPr="00C90524" w:rsidRDefault="001202C5" w:rsidP="00E01FAD">
      <w:pPr>
        <w:widowControl w:val="0"/>
        <w:autoSpaceDE w:val="0"/>
        <w:autoSpaceDN w:val="0"/>
        <w:adjustRightInd w:val="0"/>
        <w:jc w:val="both"/>
        <w:rPr>
          <w:b/>
          <w:sz w:val="21"/>
          <w:szCs w:val="21"/>
        </w:rPr>
      </w:pPr>
    </w:p>
    <w:p w:rsidR="004E63A0" w:rsidRDefault="004E63A0" w:rsidP="00E01FAD">
      <w:pPr>
        <w:pStyle w:val="Heading2"/>
        <w:jc w:val="both"/>
      </w:pPr>
    </w:p>
    <w:p w:rsidR="001202C5" w:rsidRPr="00D521FF" w:rsidRDefault="001202C5" w:rsidP="00E01FAD">
      <w:pPr>
        <w:pStyle w:val="Heading2"/>
        <w:jc w:val="both"/>
      </w:pPr>
      <w:bookmarkStart w:id="33" w:name="_Toc502239793"/>
      <w:r>
        <w:t>Discretionary P</w:t>
      </w:r>
      <w:r w:rsidRPr="00D521FF">
        <w:t xml:space="preserve">ayments to </w:t>
      </w:r>
      <w:r>
        <w:t xml:space="preserve">Existing </w:t>
      </w:r>
      <w:r w:rsidRPr="00D521FF">
        <w:t>Head Teachers</w:t>
      </w:r>
      <w:r>
        <w:t xml:space="preserve"> and Other Members of the Leadership Team</w:t>
      </w:r>
      <w:bookmarkEnd w:id="33"/>
    </w:p>
    <w:p w:rsidR="001202C5" w:rsidRPr="00274F81" w:rsidRDefault="001202C5" w:rsidP="00E01FAD">
      <w:pPr>
        <w:widowControl w:val="0"/>
        <w:autoSpaceDE w:val="0"/>
        <w:autoSpaceDN w:val="0"/>
        <w:adjustRightInd w:val="0"/>
        <w:jc w:val="both"/>
        <w:rPr>
          <w:b/>
        </w:rPr>
      </w:pPr>
    </w:p>
    <w:p w:rsidR="001202C5" w:rsidRDefault="001202C5" w:rsidP="00E01FAD">
      <w:pPr>
        <w:widowControl w:val="0"/>
        <w:autoSpaceDE w:val="0"/>
        <w:autoSpaceDN w:val="0"/>
        <w:adjustRightInd w:val="0"/>
        <w:jc w:val="both"/>
        <w:rPr>
          <w:sz w:val="21"/>
          <w:szCs w:val="21"/>
        </w:rPr>
      </w:pPr>
      <w:r>
        <w:t xml:space="preserve">Existing pay arrangements will continue until such time as there may be significant changes in responsibility for the Headteacher or other member of the leadership team. </w:t>
      </w:r>
      <w:r w:rsidRPr="00274F81">
        <w:t xml:space="preserve">The </w:t>
      </w:r>
      <w:r w:rsidR="00A34DEE">
        <w:t>Governing Body/Trust Board</w:t>
      </w:r>
      <w:r w:rsidRPr="00274F81">
        <w:t xml:space="preserve"> will review the level of payments annually</w:t>
      </w:r>
      <w:r w:rsidRPr="00455627">
        <w:rPr>
          <w:sz w:val="21"/>
          <w:szCs w:val="21"/>
        </w:rPr>
        <w:t>.</w:t>
      </w:r>
    </w:p>
    <w:p w:rsidR="001202C5" w:rsidRPr="00A2289F" w:rsidRDefault="001202C5" w:rsidP="00E01FAD">
      <w:pPr>
        <w:widowControl w:val="0"/>
        <w:autoSpaceDE w:val="0"/>
        <w:autoSpaceDN w:val="0"/>
        <w:adjustRightInd w:val="0"/>
        <w:jc w:val="both"/>
        <w:rPr>
          <w:sz w:val="21"/>
          <w:szCs w:val="21"/>
        </w:rPr>
      </w:pPr>
    </w:p>
    <w:p w:rsidR="001202C5" w:rsidRPr="00D521FF" w:rsidRDefault="001202C5" w:rsidP="00E01FAD">
      <w:pPr>
        <w:pStyle w:val="Heading2"/>
        <w:jc w:val="both"/>
      </w:pPr>
      <w:bookmarkStart w:id="34" w:name="_Toc502239794"/>
      <w:r w:rsidRPr="00D521FF">
        <w:t>Teaching and Learning Responsibility Payments (TLRs)</w:t>
      </w:r>
      <w:bookmarkEnd w:id="34"/>
    </w:p>
    <w:p w:rsidR="001202C5" w:rsidRPr="004F3A70" w:rsidRDefault="001202C5" w:rsidP="00E01FAD">
      <w:pPr>
        <w:widowControl w:val="0"/>
        <w:autoSpaceDE w:val="0"/>
        <w:autoSpaceDN w:val="0"/>
        <w:adjustRightInd w:val="0"/>
        <w:jc w:val="both"/>
        <w:rPr>
          <w:b/>
          <w:color w:val="000080"/>
          <w:sz w:val="15"/>
          <w:szCs w:val="21"/>
        </w:rPr>
      </w:pPr>
    </w:p>
    <w:p w:rsidR="001202C5" w:rsidRDefault="001202C5" w:rsidP="00E01FAD">
      <w:pPr>
        <w:widowControl w:val="0"/>
        <w:autoSpaceDE w:val="0"/>
        <w:autoSpaceDN w:val="0"/>
        <w:adjustRightInd w:val="0"/>
        <w:jc w:val="both"/>
      </w:pPr>
      <w:r w:rsidRPr="00274F81">
        <w:t xml:space="preserve">The </w:t>
      </w:r>
      <w:r w:rsidR="00A34DEE">
        <w:t>Governing Body/Trust Board</w:t>
      </w:r>
      <w:r w:rsidRPr="00274F81">
        <w:t xml:space="preserve"> will award TLRs as indicated in the school staffing structure and in accordance with </w:t>
      </w:r>
      <w:r>
        <w:t xml:space="preserve">paragraph 20 of the </w:t>
      </w:r>
      <w:r w:rsidRPr="00274F81">
        <w:t xml:space="preserve">STPCD.  The </w:t>
      </w:r>
      <w:r w:rsidR="00A34DEE">
        <w:t>Governing Body/Trust Board</w:t>
      </w:r>
      <w:r w:rsidRPr="00274F81">
        <w:t xml:space="preserve"> will </w:t>
      </w:r>
      <w:r>
        <w:t>consult staff and the relevant Trade U</w:t>
      </w:r>
      <w:r w:rsidRPr="00274F81">
        <w:t xml:space="preserve">nions on any proposed changes to the TLR structure. Where the </w:t>
      </w:r>
      <w:r w:rsidR="00A34DEE">
        <w:t>Governing Body/Trust Board</w:t>
      </w:r>
      <w:r w:rsidRPr="00274F81">
        <w:t xml:space="preserve"> wish to award a TLR for a specific project where it is not attached to a post in the structure and where it is for a </w:t>
      </w:r>
      <w:r w:rsidRPr="00D521FF">
        <w:t xml:space="preserve">fixed term period only, a TLR 3 will be awarded. The value of any such TLR 3 will </w:t>
      </w:r>
      <w:r w:rsidRPr="008876FD">
        <w:t xml:space="preserve">be </w:t>
      </w:r>
      <w:r w:rsidRPr="0026482B">
        <w:t>between £5</w:t>
      </w:r>
      <w:r w:rsidR="000A24A2" w:rsidRPr="0026482B">
        <w:t>29</w:t>
      </w:r>
      <w:r w:rsidRPr="0026482B">
        <w:t xml:space="preserve"> and £2,6</w:t>
      </w:r>
      <w:r w:rsidR="000A24A2" w:rsidRPr="0026482B">
        <w:t>30</w:t>
      </w:r>
      <w:r w:rsidRPr="008876FD">
        <w:t xml:space="preserve"> as per paragraph</w:t>
      </w:r>
      <w:r w:rsidRPr="00D521FF">
        <w:t xml:space="preserve"> </w:t>
      </w:r>
      <w:r>
        <w:t>20</w:t>
      </w:r>
      <w:r w:rsidRPr="00D521FF">
        <w:t xml:space="preserve"> of the STPCD. </w:t>
      </w:r>
    </w:p>
    <w:p w:rsidR="001202C5" w:rsidRPr="00D521FF" w:rsidRDefault="001202C5" w:rsidP="00E01FAD">
      <w:pPr>
        <w:widowControl w:val="0"/>
        <w:autoSpaceDE w:val="0"/>
        <w:autoSpaceDN w:val="0"/>
        <w:adjustRightInd w:val="0"/>
        <w:jc w:val="both"/>
        <w:rPr>
          <w:b/>
        </w:rPr>
      </w:pPr>
    </w:p>
    <w:p w:rsidR="001202C5" w:rsidRPr="00D521FF" w:rsidRDefault="001202C5" w:rsidP="00E01FAD">
      <w:pPr>
        <w:widowControl w:val="0"/>
        <w:autoSpaceDE w:val="0"/>
        <w:autoSpaceDN w:val="0"/>
        <w:adjustRightInd w:val="0"/>
        <w:jc w:val="both"/>
      </w:pPr>
      <w:r w:rsidRPr="00D521FF">
        <w:t xml:space="preserve">The </w:t>
      </w:r>
      <w:r w:rsidR="00A34DEE">
        <w:t>Governing Body/Trust Board</w:t>
      </w:r>
      <w:r w:rsidRPr="00D521FF">
        <w:t xml:space="preserve"> will determine what rate each level of TLR will be payable at</w:t>
      </w:r>
      <w:r>
        <w:t xml:space="preserve"> within the range (see appendix 2)</w:t>
      </w:r>
      <w:r w:rsidRPr="00D521FF">
        <w:t>, in accordance with STPCD 201</w:t>
      </w:r>
      <w:r w:rsidR="000A24A2">
        <w:t>7</w:t>
      </w:r>
      <w:r>
        <w:t>.</w:t>
      </w:r>
    </w:p>
    <w:p w:rsidR="001202C5" w:rsidRPr="00D521FF" w:rsidRDefault="001202C5" w:rsidP="00E01FAD">
      <w:pPr>
        <w:widowControl w:val="0"/>
        <w:autoSpaceDE w:val="0"/>
        <w:autoSpaceDN w:val="0"/>
        <w:adjustRightInd w:val="0"/>
        <w:jc w:val="both"/>
        <w:rPr>
          <w:b/>
          <w:sz w:val="21"/>
          <w:szCs w:val="21"/>
        </w:rPr>
      </w:pPr>
    </w:p>
    <w:p w:rsidR="001202C5" w:rsidRPr="00D521FF" w:rsidRDefault="001202C5" w:rsidP="00E01FAD">
      <w:pPr>
        <w:pStyle w:val="Heading2"/>
        <w:jc w:val="both"/>
      </w:pPr>
      <w:bookmarkStart w:id="35" w:name="_Toc502239795"/>
      <w:r>
        <w:t>Special Needs A</w:t>
      </w:r>
      <w:r w:rsidRPr="00D521FF">
        <w:t>llowance</w:t>
      </w:r>
      <w:bookmarkEnd w:id="35"/>
    </w:p>
    <w:p w:rsidR="001202C5" w:rsidRPr="000A24A2" w:rsidRDefault="001202C5" w:rsidP="00E01FAD">
      <w:pPr>
        <w:widowControl w:val="0"/>
        <w:autoSpaceDE w:val="0"/>
        <w:autoSpaceDN w:val="0"/>
        <w:adjustRightInd w:val="0"/>
        <w:jc w:val="both"/>
        <w:rPr>
          <w:b/>
        </w:rPr>
      </w:pPr>
    </w:p>
    <w:p w:rsidR="001202C5" w:rsidRPr="000A24A2" w:rsidRDefault="001202C5" w:rsidP="00E01FAD">
      <w:pPr>
        <w:widowControl w:val="0"/>
        <w:autoSpaceDE w:val="0"/>
        <w:autoSpaceDN w:val="0"/>
        <w:adjustRightInd w:val="0"/>
        <w:jc w:val="both"/>
      </w:pPr>
      <w:r w:rsidRPr="00D60951">
        <w:t xml:space="preserve">The </w:t>
      </w:r>
      <w:r w:rsidR="00A34DEE">
        <w:t>Governing Body/Trust Board</w:t>
      </w:r>
      <w:r w:rsidRPr="00D60951">
        <w:t xml:space="preserve"> will award an SEN allowance in accordance with the range specified in the STPCD</w:t>
      </w:r>
      <w:r w:rsidRPr="00305E12">
        <w:t xml:space="preserve"> (see appendix 2) and where the criteria in paragraph 21.2 of the STPCD is met</w:t>
      </w:r>
      <w:r w:rsidRPr="00FE0442">
        <w:t>.</w:t>
      </w:r>
      <w:r w:rsidRPr="00E01FAD">
        <w:t xml:space="preserve"> </w:t>
      </w:r>
      <w:r w:rsidRPr="0026482B">
        <w:t>This will be no less than £2,</w:t>
      </w:r>
      <w:r w:rsidR="000A24A2" w:rsidRPr="0026482B">
        <w:t>106</w:t>
      </w:r>
      <w:r w:rsidRPr="0026482B">
        <w:t xml:space="preserve"> and no more than £4,1</w:t>
      </w:r>
      <w:r w:rsidR="000A24A2" w:rsidRPr="0026482B">
        <w:t>58</w:t>
      </w:r>
      <w:r w:rsidRPr="0026482B">
        <w:t xml:space="preserve"> </w:t>
      </w:r>
      <w:r w:rsidRPr="00E01FAD">
        <w:t xml:space="preserve">per annum. Where a SEN allowance is to be paid, the </w:t>
      </w:r>
      <w:r w:rsidR="00A34DEE">
        <w:t>Governing Body/Trust Board</w:t>
      </w:r>
      <w:r w:rsidRPr="00E01FAD">
        <w:t xml:space="preserve"> will determine the spot value of the allowance in accordance with paragraph 21.3 of the STPCD.</w:t>
      </w:r>
    </w:p>
    <w:p w:rsidR="001202C5" w:rsidRPr="00D521FF" w:rsidRDefault="001202C5" w:rsidP="00E01FAD">
      <w:pPr>
        <w:widowControl w:val="0"/>
        <w:autoSpaceDE w:val="0"/>
        <w:autoSpaceDN w:val="0"/>
        <w:adjustRightInd w:val="0"/>
        <w:jc w:val="both"/>
        <w:rPr>
          <w:sz w:val="21"/>
          <w:szCs w:val="21"/>
        </w:rPr>
      </w:pPr>
    </w:p>
    <w:p w:rsidR="001202C5" w:rsidRPr="00D521FF" w:rsidRDefault="001202C5" w:rsidP="00E01FAD">
      <w:pPr>
        <w:pStyle w:val="Heading2"/>
        <w:jc w:val="both"/>
      </w:pPr>
      <w:bookmarkStart w:id="36" w:name="_Toc502239796"/>
      <w:r>
        <w:t>Acting A</w:t>
      </w:r>
      <w:r w:rsidRPr="00D521FF">
        <w:t>llowances</w:t>
      </w:r>
      <w:bookmarkEnd w:id="36"/>
    </w:p>
    <w:p w:rsidR="001202C5" w:rsidRPr="00D521FF" w:rsidRDefault="001202C5" w:rsidP="00E01FAD">
      <w:pPr>
        <w:widowControl w:val="0"/>
        <w:autoSpaceDE w:val="0"/>
        <w:autoSpaceDN w:val="0"/>
        <w:adjustRightInd w:val="0"/>
        <w:jc w:val="both"/>
      </w:pPr>
    </w:p>
    <w:p w:rsidR="001202C5" w:rsidRPr="00D521FF" w:rsidRDefault="001202C5" w:rsidP="00E01FAD">
      <w:pPr>
        <w:widowControl w:val="0"/>
        <w:autoSpaceDE w:val="0"/>
        <w:autoSpaceDN w:val="0"/>
        <w:adjustRightInd w:val="0"/>
        <w:jc w:val="both"/>
      </w:pPr>
      <w:r w:rsidRPr="00D521FF">
        <w:t>Where a teacher is required to act as head teacher, deputy head teacher or assistant head teacher</w:t>
      </w:r>
      <w:r>
        <w:t xml:space="preserve"> for a period of more than four working weeks,</w:t>
      </w:r>
      <w:r w:rsidRPr="00D521FF">
        <w:t xml:space="preserve"> they will </w:t>
      </w:r>
      <w:r>
        <w:t>be paid at no less than the minimum point of the relevant range/ISR.</w:t>
      </w:r>
      <w:r w:rsidRPr="00D521FF">
        <w:t xml:space="preserve"> In the case of those members of staff acting up into a post with a TLR</w:t>
      </w:r>
      <w:r>
        <w:t xml:space="preserve"> for a period exceeding four working weeks</w:t>
      </w:r>
      <w:r w:rsidRPr="00D521FF">
        <w:t xml:space="preserve"> the</w:t>
      </w:r>
      <w:r>
        <w:t>y</w:t>
      </w:r>
      <w:r w:rsidRPr="00D521FF">
        <w:t xml:space="preserve"> will receive the full amount </w:t>
      </w:r>
      <w:r>
        <w:t>of the</w:t>
      </w:r>
      <w:r w:rsidRPr="00D521FF">
        <w:t xml:space="preserve"> TLR</w:t>
      </w:r>
      <w:r>
        <w:t xml:space="preserve">. </w:t>
      </w:r>
      <w:r w:rsidRPr="00D521FF">
        <w:t xml:space="preserve">Payments will </w:t>
      </w:r>
      <w:r>
        <w:t>be due from</w:t>
      </w:r>
      <w:r w:rsidRPr="00D521FF">
        <w:t xml:space="preserve"> the day on which the teacher assumed those duties. </w:t>
      </w:r>
    </w:p>
    <w:p w:rsidR="001202C5" w:rsidRPr="00D521FF" w:rsidRDefault="001202C5" w:rsidP="006D5099">
      <w:pPr>
        <w:widowControl w:val="0"/>
        <w:autoSpaceDE w:val="0"/>
        <w:autoSpaceDN w:val="0"/>
        <w:adjustRightInd w:val="0"/>
        <w:rPr>
          <w:b/>
        </w:rPr>
      </w:pPr>
    </w:p>
    <w:p w:rsidR="001202C5" w:rsidRPr="00D521FF" w:rsidRDefault="001202C5" w:rsidP="00E01FAD">
      <w:pPr>
        <w:pStyle w:val="Heading2"/>
        <w:jc w:val="both"/>
      </w:pPr>
      <w:bookmarkStart w:id="37" w:name="_Toc502239797"/>
      <w:r w:rsidRPr="00D521FF">
        <w:t>Sickness &amp; Maternity Leave</w:t>
      </w:r>
      <w:bookmarkEnd w:id="37"/>
    </w:p>
    <w:p w:rsidR="001202C5" w:rsidRPr="00D521FF" w:rsidRDefault="001202C5" w:rsidP="00E01FAD">
      <w:pPr>
        <w:widowControl w:val="0"/>
        <w:autoSpaceDE w:val="0"/>
        <w:autoSpaceDN w:val="0"/>
        <w:adjustRightInd w:val="0"/>
        <w:jc w:val="both"/>
        <w:rPr>
          <w:b/>
        </w:rPr>
      </w:pPr>
    </w:p>
    <w:p w:rsidR="001202C5" w:rsidRDefault="001202C5" w:rsidP="00E01FAD">
      <w:pPr>
        <w:widowControl w:val="0"/>
        <w:autoSpaceDE w:val="0"/>
        <w:autoSpaceDN w:val="0"/>
        <w:adjustRightInd w:val="0"/>
        <w:jc w:val="both"/>
      </w:pPr>
      <w:r w:rsidRPr="00D521FF">
        <w:t xml:space="preserve">The </w:t>
      </w:r>
      <w:r w:rsidR="00A34DEE">
        <w:t>Governing Body/Trust Board</w:t>
      </w:r>
      <w:r w:rsidRPr="00D521FF">
        <w:t xml:space="preserve"> can consider the extension of pay during periods of sickness or Maternity Leave. Application will be to the relevant committee.</w:t>
      </w:r>
    </w:p>
    <w:p w:rsidR="001202C5" w:rsidRDefault="001202C5" w:rsidP="00E01FAD">
      <w:pPr>
        <w:widowControl w:val="0"/>
        <w:autoSpaceDE w:val="0"/>
        <w:autoSpaceDN w:val="0"/>
        <w:adjustRightInd w:val="0"/>
        <w:jc w:val="both"/>
      </w:pPr>
    </w:p>
    <w:p w:rsidR="001202C5" w:rsidRPr="00D521FF" w:rsidRDefault="001202C5" w:rsidP="00E01FAD">
      <w:pPr>
        <w:pStyle w:val="Heading2"/>
        <w:jc w:val="both"/>
      </w:pPr>
      <w:bookmarkStart w:id="38" w:name="_Toc502239798"/>
      <w:r w:rsidRPr="00D521FF">
        <w:t>Other Discretionary Payments</w:t>
      </w:r>
      <w:bookmarkEnd w:id="38"/>
    </w:p>
    <w:p w:rsidR="001202C5" w:rsidRPr="00D521FF" w:rsidRDefault="001202C5" w:rsidP="00E01FAD">
      <w:pPr>
        <w:widowControl w:val="0"/>
        <w:autoSpaceDE w:val="0"/>
        <w:autoSpaceDN w:val="0"/>
        <w:adjustRightInd w:val="0"/>
        <w:jc w:val="both"/>
        <w:rPr>
          <w:b/>
          <w:sz w:val="15"/>
          <w:szCs w:val="21"/>
        </w:rPr>
      </w:pPr>
    </w:p>
    <w:p w:rsidR="001202C5" w:rsidRPr="00D521FF" w:rsidRDefault="001202C5" w:rsidP="00E01FAD">
      <w:pPr>
        <w:widowControl w:val="0"/>
        <w:autoSpaceDE w:val="0"/>
        <w:autoSpaceDN w:val="0"/>
        <w:adjustRightInd w:val="0"/>
        <w:jc w:val="both"/>
      </w:pPr>
      <w:r w:rsidRPr="00D521FF">
        <w:t xml:space="preserve">The </w:t>
      </w:r>
      <w:r w:rsidR="00A34DEE">
        <w:t>Governing Body/Trust Board</w:t>
      </w:r>
      <w:r w:rsidRPr="00D521FF">
        <w:t xml:space="preserve"> has the discretion to make payments to teachers for out of school hours learning activities, voluntary school based initial teacher training activities (which are not seen as part of the ordinary running of the school) and voluntary CPD outside of the school day.</w:t>
      </w:r>
      <w:r>
        <w:t xml:space="preserve"> Where such payments are of a permanent nature, they will be incorporated into basic pay for new appointments. Existing arrangements will continue until such time as significant changes are made to the roles.</w:t>
      </w:r>
      <w:r w:rsidRPr="00D521FF">
        <w:t xml:space="preserve"> Only Leading Practitioners and members of the leadership team can be required to deliver initial teacher training activities.</w:t>
      </w:r>
    </w:p>
    <w:p w:rsidR="001202C5" w:rsidRPr="00D521FF" w:rsidRDefault="001202C5" w:rsidP="00E01FAD">
      <w:pPr>
        <w:widowControl w:val="0"/>
        <w:autoSpaceDE w:val="0"/>
        <w:autoSpaceDN w:val="0"/>
        <w:adjustRightInd w:val="0"/>
        <w:jc w:val="both"/>
        <w:rPr>
          <w:b/>
          <w:sz w:val="21"/>
          <w:szCs w:val="21"/>
        </w:rPr>
      </w:pPr>
    </w:p>
    <w:p w:rsidR="001202C5" w:rsidRDefault="001202C5" w:rsidP="00E01FAD">
      <w:pPr>
        <w:pStyle w:val="Heading2"/>
        <w:jc w:val="both"/>
      </w:pPr>
      <w:bookmarkStart w:id="39" w:name="_Toc502239799"/>
      <w:r w:rsidRPr="00D521FF">
        <w:t>Honoraria</w:t>
      </w:r>
      <w:bookmarkEnd w:id="39"/>
    </w:p>
    <w:p w:rsidR="00DE7789" w:rsidRPr="00DE7789" w:rsidRDefault="00DE7789" w:rsidP="00E01FAD"/>
    <w:p w:rsidR="001202C5" w:rsidRPr="0050455E" w:rsidRDefault="001202C5" w:rsidP="00E01FAD">
      <w:pPr>
        <w:widowControl w:val="0"/>
        <w:autoSpaceDE w:val="0"/>
        <w:autoSpaceDN w:val="0"/>
        <w:adjustRightInd w:val="0"/>
        <w:jc w:val="both"/>
      </w:pPr>
      <w:r w:rsidRPr="00D521FF">
        <w:t xml:space="preserve">The </w:t>
      </w:r>
      <w:r w:rsidR="00A34DEE">
        <w:t>Governing Body/Trust Board</w:t>
      </w:r>
      <w:r w:rsidRPr="00D521FF">
        <w:t xml:space="preserve"> will not pay any honoraria to any member of the teaching staff</w:t>
      </w:r>
      <w:r>
        <w:t>.</w:t>
      </w:r>
      <w:r w:rsidRPr="00D521FF">
        <w:t xml:space="preserve"> </w:t>
      </w:r>
      <w:r>
        <w:t>T</w:t>
      </w:r>
      <w:r w:rsidRPr="00D521FF">
        <w:t xml:space="preserve">here is no </w:t>
      </w:r>
      <w:r w:rsidRPr="0050455E">
        <w:t>provision within the 201</w:t>
      </w:r>
      <w:r w:rsidR="00364855">
        <w:t>7</w:t>
      </w:r>
      <w:r w:rsidRPr="0050455E">
        <w:t xml:space="preserve"> STPCD for the payment of honoraria in any circumstances. </w:t>
      </w:r>
    </w:p>
    <w:p w:rsidR="001202C5" w:rsidRPr="0050455E" w:rsidRDefault="001202C5" w:rsidP="00E01FAD">
      <w:pPr>
        <w:jc w:val="both"/>
        <w:rPr>
          <w:b/>
          <w:sz w:val="28"/>
          <w:szCs w:val="28"/>
        </w:rPr>
      </w:pPr>
    </w:p>
    <w:p w:rsidR="001202C5" w:rsidRPr="0050455E" w:rsidRDefault="001202C5" w:rsidP="00E01FAD">
      <w:pPr>
        <w:pStyle w:val="Heading2"/>
        <w:jc w:val="both"/>
      </w:pPr>
      <w:bookmarkStart w:id="40" w:name="_Toc502239800"/>
      <w:r w:rsidRPr="0050455E">
        <w:t>Recruitment and retention incentives and benefits</w:t>
      </w:r>
      <w:bookmarkEnd w:id="40"/>
      <w:r w:rsidRPr="0050455E">
        <w:t xml:space="preserve"> </w:t>
      </w:r>
    </w:p>
    <w:p w:rsidR="001202C5" w:rsidRPr="0050455E" w:rsidRDefault="001202C5" w:rsidP="00E01FAD">
      <w:pPr>
        <w:jc w:val="both"/>
      </w:pPr>
    </w:p>
    <w:p w:rsidR="001202C5" w:rsidRPr="0050455E" w:rsidRDefault="001202C5" w:rsidP="00E01FAD">
      <w:pPr>
        <w:jc w:val="both"/>
      </w:pPr>
      <w:r w:rsidRPr="0050455E">
        <w:t>Subject to paragraph 27 of the 201</w:t>
      </w:r>
      <w:r w:rsidR="000A24A2">
        <w:t>7</w:t>
      </w:r>
      <w:r w:rsidRPr="0050455E">
        <w:t xml:space="preserve"> STPCD, the school may make such payments to a teacher as it considers necessary as an incentive for the recruitment of new teachers and the retention of existing teachers.</w:t>
      </w:r>
    </w:p>
    <w:p w:rsidR="001202C5" w:rsidRPr="0050455E" w:rsidRDefault="001202C5" w:rsidP="00E01FAD">
      <w:pPr>
        <w:jc w:val="both"/>
      </w:pPr>
    </w:p>
    <w:p w:rsidR="001202C5" w:rsidRPr="0050455E" w:rsidRDefault="001202C5" w:rsidP="00E01FAD">
      <w:pPr>
        <w:jc w:val="both"/>
      </w:pPr>
      <w:r w:rsidRPr="0050455E">
        <w:t xml:space="preserve">Where the school is making one or more such payments they must be clear about how long this will last for and review this on a regular basis. </w:t>
      </w:r>
    </w:p>
    <w:p w:rsidR="001202C5" w:rsidRPr="0050455E" w:rsidRDefault="001202C5" w:rsidP="00E01FAD">
      <w:pPr>
        <w:jc w:val="both"/>
      </w:pPr>
    </w:p>
    <w:p w:rsidR="001202C5" w:rsidRDefault="001202C5" w:rsidP="00E01FAD">
      <w:pPr>
        <w:jc w:val="both"/>
        <w:rPr>
          <w:b/>
          <w:sz w:val="28"/>
          <w:szCs w:val="28"/>
        </w:rPr>
      </w:pPr>
      <w:r w:rsidRPr="0050455E">
        <w:t>Headteachers, deputy headteachers and assistant headteachers may not be awarded payments other than as reimbursement of reasonably incurred housing or relocation costs. All other recruitment and retention considerations in relation to a headteacher, deputy headteacher or assistant headteacher must be taken into account when determining the pay range. Where the relevant body pays a recruitment or retention incentive or benefit awarded to a headteacher, deputy headteacher or assistant headteacher under a previous Document, subject to review, it may continue to make that payment at its existing value until such time as the respective pay range is determined under this Document.</w:t>
      </w:r>
    </w:p>
    <w:p w:rsidR="0094500E" w:rsidRPr="00DB0D03" w:rsidRDefault="0094500E" w:rsidP="006D5099"/>
    <w:p w:rsidR="0094500E" w:rsidRPr="00DB0D03" w:rsidRDefault="0094500E" w:rsidP="006D5099"/>
    <w:p w:rsidR="001202C5" w:rsidRDefault="001202C5" w:rsidP="006D5099">
      <w:r>
        <w:br w:type="page"/>
      </w:r>
    </w:p>
    <w:p w:rsidR="001202C5" w:rsidRDefault="001202C5" w:rsidP="006D5099">
      <w:pPr>
        <w:pStyle w:val="Heading2"/>
      </w:pPr>
      <w:bookmarkStart w:id="41" w:name="_Toc456702328"/>
      <w:bookmarkStart w:id="42" w:name="_Toc502239801"/>
      <w:r w:rsidRPr="0022493D">
        <w:rPr>
          <w:rStyle w:val="Heading1Char"/>
        </w:rPr>
        <w:t>Appendix 1</w:t>
      </w:r>
      <w:r w:rsidR="00616CC0">
        <w:t xml:space="preserve"> Annual Statement of a</w:t>
      </w:r>
      <w:r w:rsidRPr="00917091">
        <w:t xml:space="preserve"> Teacher’s </w:t>
      </w:r>
      <w:r>
        <w:t>S</w:t>
      </w:r>
      <w:r w:rsidRPr="00917091">
        <w:t>alary</w:t>
      </w:r>
      <w:r w:rsidR="00616CC0">
        <w:t xml:space="preserve"> (including Headteacher</w:t>
      </w:r>
      <w:bookmarkEnd w:id="41"/>
      <w:r w:rsidR="00616CC0">
        <w:t>) September 201</w:t>
      </w:r>
      <w:r w:rsidR="00364855">
        <w:t>7</w:t>
      </w:r>
      <w:bookmarkEnd w:id="42"/>
    </w:p>
    <w:p w:rsidR="001202C5" w:rsidRPr="003E4E2D" w:rsidRDefault="00616CC0" w:rsidP="006D5099">
      <w:pPr>
        <w:pStyle w:val="Heading2"/>
      </w:pPr>
      <w:r>
        <w:t xml:space="preserve"> </w:t>
      </w:r>
    </w:p>
    <w:p w:rsidR="001202C5" w:rsidRPr="00B2159C" w:rsidRDefault="001202C5" w:rsidP="006D5099">
      <w:pPr>
        <w:rPr>
          <w:sz w:val="20"/>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04"/>
      </w:tblGrid>
      <w:tr w:rsidR="001202C5" w:rsidRPr="00917091" w:rsidTr="001202C5">
        <w:tc>
          <w:tcPr>
            <w:tcW w:w="1809" w:type="dxa"/>
          </w:tcPr>
          <w:p w:rsidR="001202C5" w:rsidRPr="00917091" w:rsidRDefault="001202C5" w:rsidP="006D5099">
            <w:r w:rsidRPr="00917091">
              <w:t>Name:</w:t>
            </w:r>
          </w:p>
        </w:tc>
        <w:tc>
          <w:tcPr>
            <w:tcW w:w="6804" w:type="dxa"/>
            <w:tcBorders>
              <w:bottom w:val="single" w:sz="4" w:space="0" w:color="auto"/>
            </w:tcBorders>
          </w:tcPr>
          <w:p w:rsidR="001202C5" w:rsidRPr="00917091" w:rsidRDefault="001202C5" w:rsidP="006D5099">
            <w:r w:rsidRPr="00917091">
              <w:t xml:space="preserve"> </w:t>
            </w:r>
          </w:p>
        </w:tc>
      </w:tr>
      <w:tr w:rsidR="001202C5" w:rsidRPr="00917091" w:rsidTr="001202C5">
        <w:tc>
          <w:tcPr>
            <w:tcW w:w="1809" w:type="dxa"/>
          </w:tcPr>
          <w:p w:rsidR="001202C5" w:rsidRPr="00917091" w:rsidRDefault="001202C5" w:rsidP="006D5099">
            <w:r w:rsidRPr="00917091">
              <w:t>School:</w:t>
            </w:r>
          </w:p>
        </w:tc>
        <w:tc>
          <w:tcPr>
            <w:tcW w:w="6804" w:type="dxa"/>
            <w:tcBorders>
              <w:top w:val="single" w:sz="4" w:space="0" w:color="auto"/>
              <w:bottom w:val="single" w:sz="4" w:space="0" w:color="auto"/>
            </w:tcBorders>
          </w:tcPr>
          <w:p w:rsidR="001202C5" w:rsidRPr="00917091" w:rsidRDefault="001202C5" w:rsidP="006D5099"/>
        </w:tc>
      </w:tr>
      <w:tr w:rsidR="001202C5" w:rsidRPr="00917091" w:rsidTr="001202C5">
        <w:tc>
          <w:tcPr>
            <w:tcW w:w="1809" w:type="dxa"/>
          </w:tcPr>
          <w:p w:rsidR="001202C5" w:rsidRPr="00917091" w:rsidRDefault="001202C5" w:rsidP="006D5099">
            <w:r w:rsidRPr="00917091">
              <w:t>Effective Date:</w:t>
            </w:r>
          </w:p>
        </w:tc>
        <w:tc>
          <w:tcPr>
            <w:tcW w:w="6804" w:type="dxa"/>
            <w:tcBorders>
              <w:top w:val="single" w:sz="4" w:space="0" w:color="auto"/>
              <w:bottom w:val="single" w:sz="4" w:space="0" w:color="auto"/>
            </w:tcBorders>
          </w:tcPr>
          <w:p w:rsidR="001202C5" w:rsidRPr="00917091" w:rsidRDefault="001202C5" w:rsidP="006D5099"/>
        </w:tc>
      </w:tr>
    </w:tbl>
    <w:p w:rsidR="001202C5" w:rsidRPr="00B2159C" w:rsidRDefault="001202C5" w:rsidP="006D5099">
      <w:pPr>
        <w:rPr>
          <w:sz w:val="20"/>
        </w:rPr>
      </w:pPr>
    </w:p>
    <w:p w:rsidR="001202C5" w:rsidRPr="00917091" w:rsidRDefault="00616CC0" w:rsidP="006D5099">
      <w:pPr>
        <w:rPr>
          <w:b/>
          <w:u w:val="single"/>
        </w:rPr>
      </w:pPr>
      <w:r>
        <w:rPr>
          <w:b/>
          <w:u w:val="single"/>
        </w:rPr>
        <w:t>Number of points on pay</w:t>
      </w:r>
      <w:r w:rsidR="001202C5" w:rsidRPr="00917091">
        <w:rPr>
          <w:b/>
          <w:u w:val="single"/>
        </w:rPr>
        <w:t xml:space="preserve"> scale awarded from 1 September 201</w:t>
      </w:r>
      <w:r w:rsidR="00364855">
        <w:rPr>
          <w:b/>
          <w:u w:val="single"/>
        </w:rPr>
        <w:t>7</w:t>
      </w:r>
    </w:p>
    <w:p w:rsidR="001202C5" w:rsidRPr="00B2159C" w:rsidRDefault="001202C5" w:rsidP="006D5099">
      <w:pPr>
        <w:rPr>
          <w:sz w:val="20"/>
        </w:rPr>
      </w:pPr>
    </w:p>
    <w:p w:rsidR="001202C5" w:rsidRPr="00917091" w:rsidRDefault="00616CC0" w:rsidP="006D5099">
      <w:r>
        <w:t>New point on pay scale</w:t>
      </w:r>
      <w:r w:rsidR="001202C5" w:rsidRPr="00917091">
        <w:t xml:space="preserve"> from 1 September 201</w:t>
      </w:r>
      <w:r w:rsidR="00E2640E">
        <w:t>7</w:t>
      </w:r>
      <w:r w:rsidR="001202C5" w:rsidRPr="00917091">
        <w:t xml:space="preserve">: ________________  </w:t>
      </w:r>
    </w:p>
    <w:p w:rsidR="001202C5" w:rsidRPr="00B2159C" w:rsidRDefault="001202C5" w:rsidP="006D5099">
      <w:pPr>
        <w:rPr>
          <w:sz w:val="20"/>
        </w:rPr>
      </w:pPr>
    </w:p>
    <w:p w:rsidR="001202C5" w:rsidRPr="00917091" w:rsidRDefault="001202C5" w:rsidP="006D5099">
      <w:pPr>
        <w:ind w:left="2160" w:firstLine="720"/>
      </w:pPr>
      <w:r w:rsidRPr="00917091">
        <w:t>Value of point</w:t>
      </w:r>
      <w:r w:rsidR="00616CC0">
        <w:t>/s awarded</w:t>
      </w:r>
      <w:r w:rsidRPr="00917091">
        <w:t>:  £_____________</w:t>
      </w:r>
    </w:p>
    <w:p w:rsidR="001202C5" w:rsidRPr="00B2159C" w:rsidRDefault="001202C5" w:rsidP="006D5099">
      <w:pPr>
        <w:rPr>
          <w:sz w:val="20"/>
        </w:rPr>
      </w:pPr>
    </w:p>
    <w:p w:rsidR="001202C5" w:rsidRPr="00917091" w:rsidRDefault="001202C5" w:rsidP="006D5099">
      <w:pPr>
        <w:rPr>
          <w:b/>
          <w:u w:val="single"/>
        </w:rPr>
      </w:pPr>
      <w:r w:rsidRPr="00917091">
        <w:rPr>
          <w:b/>
          <w:u w:val="single"/>
        </w:rPr>
        <w:t>*Allowances</w:t>
      </w:r>
    </w:p>
    <w:p w:rsidR="001202C5" w:rsidRPr="00B2159C" w:rsidRDefault="001202C5" w:rsidP="006D5099">
      <w:pPr>
        <w:rPr>
          <w:sz w:val="20"/>
        </w:rPr>
      </w:pPr>
    </w:p>
    <w:p w:rsidR="001202C5" w:rsidRDefault="001202C5" w:rsidP="006D5099">
      <w:r w:rsidRPr="00917091">
        <w:t>SEN allowance: (range £2,</w:t>
      </w:r>
      <w:r w:rsidR="000A24A2">
        <w:t>106</w:t>
      </w:r>
      <w:r w:rsidRPr="00917091">
        <w:t xml:space="preserve"> to £4,</w:t>
      </w:r>
      <w:r w:rsidR="008F4B22">
        <w:t>1</w:t>
      </w:r>
      <w:r w:rsidR="000A24A2">
        <w:t>58</w:t>
      </w:r>
      <w:r w:rsidRPr="00917091">
        <w:t>)</w:t>
      </w:r>
      <w:r w:rsidRPr="00917091">
        <w:tab/>
      </w:r>
    </w:p>
    <w:p w:rsidR="001202C5" w:rsidRPr="00B2159C" w:rsidRDefault="001202C5" w:rsidP="006D5099">
      <w:pPr>
        <w:rPr>
          <w:sz w:val="20"/>
        </w:rPr>
      </w:pPr>
    </w:p>
    <w:p w:rsidR="001202C5" w:rsidRPr="00917091" w:rsidRDefault="001202C5" w:rsidP="006D5099">
      <w:r w:rsidRPr="00917091">
        <w:t>Value £__________________</w:t>
      </w:r>
    </w:p>
    <w:p w:rsidR="001202C5" w:rsidRPr="00917091" w:rsidRDefault="001202C5" w:rsidP="006D5099">
      <w:r w:rsidRPr="00917091">
        <w:tab/>
      </w:r>
    </w:p>
    <w:p w:rsidR="001202C5" w:rsidRPr="00917091" w:rsidRDefault="001202C5" w:rsidP="006D5099">
      <w:r w:rsidRPr="00917091">
        <w:t xml:space="preserve">Reason for Award (if discretionary): </w:t>
      </w:r>
      <w:r w:rsidRPr="00917091">
        <w:tab/>
      </w:r>
    </w:p>
    <w:tbl>
      <w:tblPr>
        <w:tblStyle w:val="TableGrid"/>
        <w:tblW w:w="85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1202C5" w:rsidRPr="00917091" w:rsidTr="001202C5">
        <w:tc>
          <w:tcPr>
            <w:tcW w:w="8516" w:type="dxa"/>
            <w:tcBorders>
              <w:bottom w:val="single" w:sz="4" w:space="0" w:color="auto"/>
            </w:tcBorders>
          </w:tcPr>
          <w:p w:rsidR="001202C5" w:rsidRPr="00917091" w:rsidRDefault="001202C5" w:rsidP="006D5099"/>
        </w:tc>
      </w:tr>
      <w:tr w:rsidR="001202C5" w:rsidRPr="00917091" w:rsidTr="001202C5">
        <w:tc>
          <w:tcPr>
            <w:tcW w:w="8516" w:type="dxa"/>
            <w:tcBorders>
              <w:top w:val="single" w:sz="4" w:space="0" w:color="auto"/>
              <w:bottom w:val="single" w:sz="4" w:space="0" w:color="auto"/>
            </w:tcBorders>
          </w:tcPr>
          <w:p w:rsidR="001202C5" w:rsidRPr="00917091" w:rsidRDefault="001202C5" w:rsidP="006D5099"/>
        </w:tc>
      </w:tr>
      <w:tr w:rsidR="001202C5" w:rsidRPr="00917091" w:rsidTr="001202C5">
        <w:tc>
          <w:tcPr>
            <w:tcW w:w="8516" w:type="dxa"/>
            <w:tcBorders>
              <w:top w:val="single" w:sz="4" w:space="0" w:color="auto"/>
              <w:bottom w:val="single" w:sz="4" w:space="0" w:color="auto"/>
            </w:tcBorders>
          </w:tcPr>
          <w:p w:rsidR="001202C5" w:rsidRPr="00917091" w:rsidRDefault="001202C5" w:rsidP="006D5099"/>
        </w:tc>
      </w:tr>
      <w:tr w:rsidR="001202C5" w:rsidRPr="00917091" w:rsidTr="001202C5">
        <w:tc>
          <w:tcPr>
            <w:tcW w:w="8516" w:type="dxa"/>
            <w:tcBorders>
              <w:top w:val="single" w:sz="4" w:space="0" w:color="auto"/>
              <w:bottom w:val="single" w:sz="4" w:space="0" w:color="auto"/>
            </w:tcBorders>
          </w:tcPr>
          <w:p w:rsidR="001202C5" w:rsidRPr="00917091" w:rsidRDefault="001202C5" w:rsidP="006D5099"/>
        </w:tc>
      </w:tr>
    </w:tbl>
    <w:p w:rsidR="001202C5" w:rsidRPr="00B2159C" w:rsidRDefault="001202C5" w:rsidP="006D5099">
      <w:pPr>
        <w:rPr>
          <w:sz w:val="20"/>
        </w:rPr>
      </w:pPr>
    </w:p>
    <w:p w:rsidR="001202C5" w:rsidRPr="00917091" w:rsidRDefault="001202C5" w:rsidP="006D5099">
      <w:pPr>
        <w:rPr>
          <w:b/>
          <w:u w:val="single"/>
        </w:rPr>
      </w:pPr>
      <w:r w:rsidRPr="00917091">
        <w:rPr>
          <w:b/>
          <w:u w:val="single"/>
        </w:rPr>
        <w:t xml:space="preserve">Teaching and Learning Responsibility Payment  </w:t>
      </w:r>
    </w:p>
    <w:p w:rsidR="001202C5" w:rsidRPr="00B2159C" w:rsidRDefault="001202C5" w:rsidP="006D5099">
      <w:pPr>
        <w:rPr>
          <w:sz w:val="20"/>
        </w:rPr>
      </w:pPr>
    </w:p>
    <w:p w:rsidR="001202C5" w:rsidRPr="00917091" w:rsidRDefault="001202C5" w:rsidP="006D5099">
      <w:r w:rsidRPr="00917091">
        <w:rPr>
          <w:rFonts w:hint="eastAsia"/>
        </w:rPr>
        <w:t>TLR</w:t>
      </w:r>
      <w:r w:rsidRPr="00917091">
        <w:rPr>
          <w:rFonts w:hint="eastAsia"/>
        </w:rPr>
        <w:tab/>
        <w:t xml:space="preserve">1 </w:t>
      </w:r>
      <w:r w:rsidRPr="00917091">
        <w:rPr>
          <w:rFonts w:hint="eastAsia"/>
        </w:rPr>
        <w:t>□</w:t>
      </w:r>
      <w:r w:rsidRPr="00917091">
        <w:rPr>
          <w:rFonts w:hint="eastAsia"/>
        </w:rPr>
        <w:tab/>
        <w:t xml:space="preserve">2 </w:t>
      </w:r>
      <w:r w:rsidRPr="00917091">
        <w:rPr>
          <w:rFonts w:hint="eastAsia"/>
        </w:rPr>
        <w:t>□</w:t>
      </w:r>
      <w:r w:rsidRPr="00917091">
        <w:rPr>
          <w:rFonts w:hint="eastAsia"/>
        </w:rPr>
        <w:tab/>
        <w:t xml:space="preserve">3 </w:t>
      </w:r>
      <w:r w:rsidRPr="00917091">
        <w:rPr>
          <w:rFonts w:hint="eastAsia"/>
        </w:rPr>
        <w:t>□</w:t>
      </w:r>
      <w:r w:rsidRPr="00917091">
        <w:rPr>
          <w:rFonts w:hint="eastAsia"/>
        </w:rPr>
        <w:t xml:space="preserve"> </w:t>
      </w:r>
      <w:r w:rsidRPr="00917091">
        <w:rPr>
          <w:rFonts w:hint="eastAsia"/>
          <w:i/>
        </w:rPr>
        <w:t>(tick applicable)</w:t>
      </w:r>
    </w:p>
    <w:p w:rsidR="001202C5" w:rsidRPr="00B2159C" w:rsidRDefault="001202C5" w:rsidP="006D5099">
      <w:pPr>
        <w:rPr>
          <w:sz w:val="20"/>
        </w:rPr>
      </w:pPr>
    </w:p>
    <w:p w:rsidR="001202C5" w:rsidRPr="00917091" w:rsidRDefault="001202C5" w:rsidP="006D5099">
      <w:r w:rsidRPr="00917091">
        <w:t>Value £ _____________</w:t>
      </w:r>
    </w:p>
    <w:p w:rsidR="001202C5" w:rsidRPr="00B2159C" w:rsidRDefault="001202C5" w:rsidP="006D5099">
      <w:pPr>
        <w:rPr>
          <w:sz w:val="20"/>
        </w:rPr>
      </w:pPr>
    </w:p>
    <w:p w:rsidR="001202C5" w:rsidRPr="00917091" w:rsidRDefault="001202C5" w:rsidP="006D5099">
      <w:r w:rsidRPr="00917091">
        <w:t>Nature of the significant responsibility for which it was awarded (complete, or attach a copy of the job description which includes this information)</w:t>
      </w:r>
    </w:p>
    <w:tbl>
      <w:tblPr>
        <w:tblStyle w:val="TableGrid"/>
        <w:tblW w:w="851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1202C5" w:rsidRPr="00917091" w:rsidTr="001202C5">
        <w:tc>
          <w:tcPr>
            <w:tcW w:w="8516" w:type="dxa"/>
            <w:tcBorders>
              <w:bottom w:val="single" w:sz="4" w:space="0" w:color="auto"/>
            </w:tcBorders>
          </w:tcPr>
          <w:p w:rsidR="001202C5" w:rsidRPr="00917091" w:rsidRDefault="001202C5" w:rsidP="006D5099"/>
        </w:tc>
      </w:tr>
      <w:tr w:rsidR="001202C5" w:rsidRPr="00917091" w:rsidTr="001202C5">
        <w:tc>
          <w:tcPr>
            <w:tcW w:w="8516" w:type="dxa"/>
            <w:tcBorders>
              <w:top w:val="single" w:sz="4" w:space="0" w:color="auto"/>
              <w:bottom w:val="single" w:sz="4" w:space="0" w:color="auto"/>
            </w:tcBorders>
          </w:tcPr>
          <w:p w:rsidR="001202C5" w:rsidRPr="00917091" w:rsidRDefault="001202C5" w:rsidP="006D5099"/>
        </w:tc>
      </w:tr>
      <w:tr w:rsidR="001202C5" w:rsidRPr="00917091" w:rsidTr="001202C5">
        <w:tc>
          <w:tcPr>
            <w:tcW w:w="8516" w:type="dxa"/>
            <w:tcBorders>
              <w:top w:val="single" w:sz="4" w:space="0" w:color="auto"/>
              <w:bottom w:val="single" w:sz="4" w:space="0" w:color="auto"/>
            </w:tcBorders>
          </w:tcPr>
          <w:p w:rsidR="001202C5" w:rsidRPr="00917091" w:rsidRDefault="001202C5" w:rsidP="006D5099"/>
        </w:tc>
      </w:tr>
      <w:tr w:rsidR="001202C5" w:rsidRPr="00917091" w:rsidTr="001202C5">
        <w:tc>
          <w:tcPr>
            <w:tcW w:w="8516" w:type="dxa"/>
            <w:tcBorders>
              <w:top w:val="single" w:sz="4" w:space="0" w:color="auto"/>
            </w:tcBorders>
          </w:tcPr>
          <w:p w:rsidR="001202C5" w:rsidRPr="00917091" w:rsidRDefault="001202C5" w:rsidP="006D5099"/>
        </w:tc>
      </w:tr>
    </w:tbl>
    <w:p w:rsidR="001202C5" w:rsidRPr="00B2159C" w:rsidRDefault="001202C5" w:rsidP="006D5099">
      <w:pPr>
        <w:rPr>
          <w:sz w:val="20"/>
        </w:rPr>
      </w:pPr>
    </w:p>
    <w:p w:rsidR="001202C5" w:rsidRDefault="001202C5" w:rsidP="006D5099">
      <w:r w:rsidRPr="00917091">
        <w:t xml:space="preserve">If a TLR is awarded while the teacher occupies a different post in the temporary absence of a post-holder, the date or circumstances in which the TLR will come to an end </w:t>
      </w:r>
    </w:p>
    <w:p w:rsidR="001202C5" w:rsidRPr="00917091" w:rsidRDefault="001202C5" w:rsidP="006D5099"/>
    <w:tbl>
      <w:tblPr>
        <w:tblStyle w:val="TableGrid"/>
        <w:tblW w:w="851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1202C5" w:rsidRPr="00917091" w:rsidTr="001202C5">
        <w:tc>
          <w:tcPr>
            <w:tcW w:w="8516" w:type="dxa"/>
            <w:tcBorders>
              <w:top w:val="single" w:sz="4" w:space="0" w:color="auto"/>
              <w:bottom w:val="single" w:sz="4" w:space="0" w:color="auto"/>
            </w:tcBorders>
          </w:tcPr>
          <w:p w:rsidR="001202C5" w:rsidRPr="00917091" w:rsidRDefault="001202C5" w:rsidP="006D5099"/>
        </w:tc>
      </w:tr>
      <w:tr w:rsidR="001202C5" w:rsidRPr="00917091" w:rsidTr="001202C5">
        <w:tc>
          <w:tcPr>
            <w:tcW w:w="8516" w:type="dxa"/>
            <w:tcBorders>
              <w:top w:val="single" w:sz="4" w:space="0" w:color="auto"/>
              <w:bottom w:val="single" w:sz="4" w:space="0" w:color="auto"/>
            </w:tcBorders>
          </w:tcPr>
          <w:p w:rsidR="001202C5" w:rsidRPr="00917091" w:rsidRDefault="001202C5" w:rsidP="006D5099"/>
        </w:tc>
      </w:tr>
      <w:tr w:rsidR="001202C5" w:rsidRPr="00917091" w:rsidTr="001202C5">
        <w:tc>
          <w:tcPr>
            <w:tcW w:w="8516" w:type="dxa"/>
            <w:tcBorders>
              <w:top w:val="single" w:sz="4" w:space="0" w:color="auto"/>
            </w:tcBorders>
          </w:tcPr>
          <w:p w:rsidR="001202C5" w:rsidRPr="00917091" w:rsidRDefault="001202C5" w:rsidP="006D5099"/>
        </w:tc>
      </w:tr>
    </w:tbl>
    <w:p w:rsidR="00616CC0" w:rsidRDefault="00616CC0" w:rsidP="006D5099">
      <w:pPr>
        <w:rPr>
          <w:b/>
        </w:rPr>
      </w:pPr>
    </w:p>
    <w:p w:rsidR="00616CC0" w:rsidRDefault="00616CC0" w:rsidP="006D5099">
      <w:pPr>
        <w:rPr>
          <w:b/>
        </w:rPr>
      </w:pPr>
    </w:p>
    <w:p w:rsidR="00616CC0" w:rsidRDefault="00616CC0" w:rsidP="006D5099">
      <w:pPr>
        <w:rPr>
          <w:b/>
        </w:rPr>
      </w:pPr>
    </w:p>
    <w:p w:rsidR="00616CC0" w:rsidRDefault="00616CC0" w:rsidP="006D5099">
      <w:pPr>
        <w:rPr>
          <w:b/>
        </w:rPr>
      </w:pPr>
    </w:p>
    <w:p w:rsidR="00616CC0" w:rsidRDefault="00616CC0" w:rsidP="006D5099">
      <w:pPr>
        <w:rPr>
          <w:b/>
        </w:rPr>
      </w:pPr>
    </w:p>
    <w:p w:rsidR="001202C5" w:rsidRPr="00917091" w:rsidRDefault="001202C5" w:rsidP="006D5099">
      <w:pPr>
        <w:rPr>
          <w:i/>
        </w:rPr>
      </w:pPr>
      <w:r w:rsidRPr="00917091">
        <w:rPr>
          <w:i/>
        </w:rPr>
        <w:t xml:space="preserve">Please indicate the value of any payment(s) or benefit(s) which have been awarded, including the reasoning behind any award.  </w:t>
      </w:r>
    </w:p>
    <w:p w:rsidR="001202C5" w:rsidRPr="00305A4C" w:rsidRDefault="001202C5" w:rsidP="006D5099"/>
    <w:tbl>
      <w:tblPr>
        <w:tblpPr w:leftFromText="180" w:rightFromText="180" w:vertAnchor="text" w:horzAnchor="margin" w:tblpY="12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877"/>
        <w:gridCol w:w="2025"/>
      </w:tblGrid>
      <w:tr w:rsidR="001202C5" w:rsidRPr="00895D3F" w:rsidTr="001202C5">
        <w:trPr>
          <w:trHeight w:val="553"/>
        </w:trPr>
        <w:tc>
          <w:tcPr>
            <w:tcW w:w="4853" w:type="dxa"/>
          </w:tcPr>
          <w:p w:rsidR="001202C5" w:rsidRPr="009E0FEF" w:rsidRDefault="001202C5" w:rsidP="006D5099">
            <w:pPr>
              <w:rPr>
                <w:b/>
                <w:i/>
              </w:rPr>
            </w:pPr>
            <w:r w:rsidRPr="009E0FEF">
              <w:rPr>
                <w:b/>
                <w:i/>
              </w:rPr>
              <w:t xml:space="preserve">Payment </w:t>
            </w:r>
          </w:p>
          <w:p w:rsidR="001202C5" w:rsidRPr="009E0FEF" w:rsidRDefault="001202C5" w:rsidP="006D5099">
            <w:pPr>
              <w:rPr>
                <w:i/>
              </w:rPr>
            </w:pPr>
            <w:r w:rsidRPr="009E0FEF">
              <w:rPr>
                <w:i/>
              </w:rPr>
              <w:t xml:space="preserve">*Delete as applicable </w:t>
            </w:r>
          </w:p>
          <w:p w:rsidR="001202C5" w:rsidRPr="009E0FEF" w:rsidRDefault="001202C5" w:rsidP="006D5099">
            <w:pPr>
              <w:rPr>
                <w:i/>
              </w:rPr>
            </w:pPr>
          </w:p>
        </w:tc>
        <w:tc>
          <w:tcPr>
            <w:tcW w:w="1877" w:type="dxa"/>
            <w:vAlign w:val="center"/>
          </w:tcPr>
          <w:p w:rsidR="001202C5" w:rsidRPr="009E0FEF" w:rsidRDefault="001202C5" w:rsidP="006D5099">
            <w:pPr>
              <w:rPr>
                <w:b/>
                <w:i/>
              </w:rPr>
            </w:pPr>
            <w:r w:rsidRPr="009E0FEF">
              <w:rPr>
                <w:b/>
                <w:i/>
              </w:rPr>
              <w:t>Reason for award</w:t>
            </w:r>
          </w:p>
        </w:tc>
        <w:tc>
          <w:tcPr>
            <w:tcW w:w="2025" w:type="dxa"/>
            <w:vAlign w:val="center"/>
          </w:tcPr>
          <w:p w:rsidR="001202C5" w:rsidRPr="009E0FEF" w:rsidRDefault="001202C5" w:rsidP="006D5099">
            <w:pPr>
              <w:rPr>
                <w:b/>
                <w:i/>
              </w:rPr>
            </w:pPr>
            <w:r w:rsidRPr="009E0FEF">
              <w:rPr>
                <w:b/>
                <w:i/>
              </w:rPr>
              <w:t>Value of payment or benefit</w:t>
            </w:r>
          </w:p>
        </w:tc>
      </w:tr>
      <w:tr w:rsidR="001202C5" w:rsidRPr="00895D3F" w:rsidTr="001202C5">
        <w:tc>
          <w:tcPr>
            <w:tcW w:w="4853" w:type="dxa"/>
          </w:tcPr>
          <w:p w:rsidR="001202C5" w:rsidRPr="009E0FEF" w:rsidRDefault="001202C5" w:rsidP="006D5099">
            <w:pPr>
              <w:rPr>
                <w:i/>
              </w:rPr>
            </w:pPr>
            <w:r w:rsidRPr="009E0FEF">
              <w:rPr>
                <w:i/>
              </w:rPr>
              <w:t>* Residential duties (paragraph 25)</w:t>
            </w:r>
          </w:p>
          <w:p w:rsidR="001202C5" w:rsidRPr="009E0FEF" w:rsidRDefault="001202C5" w:rsidP="006D5099">
            <w:pPr>
              <w:rPr>
                <w:i/>
              </w:rPr>
            </w:pPr>
          </w:p>
        </w:tc>
        <w:tc>
          <w:tcPr>
            <w:tcW w:w="1877" w:type="dxa"/>
          </w:tcPr>
          <w:p w:rsidR="001202C5" w:rsidRPr="009E0FEF" w:rsidRDefault="001202C5" w:rsidP="006D5099">
            <w:pPr>
              <w:rPr>
                <w:i/>
              </w:rPr>
            </w:pPr>
          </w:p>
        </w:tc>
        <w:tc>
          <w:tcPr>
            <w:tcW w:w="2025" w:type="dxa"/>
          </w:tcPr>
          <w:p w:rsidR="001202C5" w:rsidRPr="009E0FEF" w:rsidRDefault="001202C5" w:rsidP="006D5099">
            <w:pPr>
              <w:rPr>
                <w:i/>
              </w:rPr>
            </w:pPr>
          </w:p>
        </w:tc>
      </w:tr>
      <w:tr w:rsidR="001202C5" w:rsidRPr="00895D3F" w:rsidTr="001202C5">
        <w:tc>
          <w:tcPr>
            <w:tcW w:w="4853" w:type="dxa"/>
          </w:tcPr>
          <w:p w:rsidR="001202C5" w:rsidRPr="009E0FEF" w:rsidRDefault="001202C5" w:rsidP="006D5099">
            <w:pPr>
              <w:rPr>
                <w:i/>
              </w:rPr>
            </w:pPr>
            <w:r w:rsidRPr="009E0FEF">
              <w:rPr>
                <w:i/>
              </w:rPr>
              <w:t>* Additional payment (paragraph 26)</w:t>
            </w:r>
          </w:p>
          <w:p w:rsidR="001202C5" w:rsidRPr="009E0FEF" w:rsidRDefault="001202C5" w:rsidP="006D5099">
            <w:pPr>
              <w:rPr>
                <w:i/>
              </w:rPr>
            </w:pPr>
          </w:p>
        </w:tc>
        <w:tc>
          <w:tcPr>
            <w:tcW w:w="1877" w:type="dxa"/>
          </w:tcPr>
          <w:p w:rsidR="001202C5" w:rsidRPr="009E0FEF" w:rsidRDefault="001202C5" w:rsidP="006D5099">
            <w:pPr>
              <w:rPr>
                <w:i/>
              </w:rPr>
            </w:pPr>
          </w:p>
        </w:tc>
        <w:tc>
          <w:tcPr>
            <w:tcW w:w="2025" w:type="dxa"/>
          </w:tcPr>
          <w:p w:rsidR="001202C5" w:rsidRPr="009E0FEF" w:rsidRDefault="001202C5" w:rsidP="006D5099">
            <w:pPr>
              <w:rPr>
                <w:i/>
              </w:rPr>
            </w:pPr>
          </w:p>
        </w:tc>
      </w:tr>
      <w:tr w:rsidR="001202C5" w:rsidRPr="00895D3F" w:rsidTr="001202C5">
        <w:tc>
          <w:tcPr>
            <w:tcW w:w="4853" w:type="dxa"/>
          </w:tcPr>
          <w:p w:rsidR="001202C5" w:rsidRPr="009E0FEF" w:rsidRDefault="001202C5" w:rsidP="006D5099">
            <w:r w:rsidRPr="009E0FEF">
              <w:t>*Recruitment and retention incentives and benefits (paragraph 27) indicating:</w:t>
            </w:r>
          </w:p>
          <w:p w:rsidR="001202C5" w:rsidRPr="00A10D9E" w:rsidRDefault="001202C5" w:rsidP="006D5099">
            <w:pPr>
              <w:pStyle w:val="ListParagraph"/>
              <w:numPr>
                <w:ilvl w:val="0"/>
                <w:numId w:val="25"/>
              </w:numPr>
            </w:pPr>
            <w:r w:rsidRPr="00A10D9E">
              <w:t>whether a payment or other benefit has been awarded;</w:t>
            </w:r>
          </w:p>
          <w:p w:rsidR="001202C5" w:rsidRPr="00A10D9E" w:rsidRDefault="001202C5" w:rsidP="006D5099">
            <w:pPr>
              <w:pStyle w:val="ListParagraph"/>
              <w:numPr>
                <w:ilvl w:val="0"/>
                <w:numId w:val="25"/>
              </w:numPr>
            </w:pPr>
            <w:r w:rsidRPr="00A10D9E">
              <w:t>whether the payment or other benefit is for recruitment and/or retention purposes;</w:t>
            </w:r>
          </w:p>
          <w:p w:rsidR="001202C5" w:rsidRPr="00A10D9E" w:rsidRDefault="001202C5" w:rsidP="006D5099">
            <w:pPr>
              <w:pStyle w:val="ListParagraph"/>
              <w:numPr>
                <w:ilvl w:val="0"/>
                <w:numId w:val="25"/>
              </w:numPr>
            </w:pPr>
            <w:r w:rsidRPr="00A10D9E">
              <w:t xml:space="preserve">if a non-monetary benefit has been awarded, its notional value; and </w:t>
            </w:r>
          </w:p>
          <w:p w:rsidR="001202C5" w:rsidRPr="009E0FEF" w:rsidRDefault="001202C5" w:rsidP="006D5099">
            <w:pPr>
              <w:pStyle w:val="ListParagraph"/>
              <w:numPr>
                <w:ilvl w:val="0"/>
                <w:numId w:val="25"/>
              </w:numPr>
            </w:pPr>
            <w:r w:rsidRPr="00A10D9E">
              <w:t>when the award starts and ends.</w:t>
            </w:r>
          </w:p>
        </w:tc>
        <w:tc>
          <w:tcPr>
            <w:tcW w:w="1877" w:type="dxa"/>
          </w:tcPr>
          <w:p w:rsidR="001202C5" w:rsidRPr="009E0FEF" w:rsidRDefault="001202C5" w:rsidP="006D5099">
            <w:pPr>
              <w:rPr>
                <w:i/>
              </w:rPr>
            </w:pPr>
          </w:p>
        </w:tc>
        <w:tc>
          <w:tcPr>
            <w:tcW w:w="2025" w:type="dxa"/>
          </w:tcPr>
          <w:p w:rsidR="001202C5" w:rsidRPr="009E0FEF" w:rsidRDefault="001202C5" w:rsidP="006D5099">
            <w:pPr>
              <w:rPr>
                <w:i/>
              </w:rPr>
            </w:pPr>
          </w:p>
        </w:tc>
      </w:tr>
    </w:tbl>
    <w:p w:rsidR="001202C5" w:rsidRPr="00B2159C" w:rsidRDefault="001202C5" w:rsidP="006D5099">
      <w:pPr>
        <w:rPr>
          <w:color w:val="A6A6A6" w:themeColor="background1" w:themeShade="A6"/>
          <w:sz w:val="20"/>
        </w:rPr>
      </w:pPr>
    </w:p>
    <w:p w:rsidR="001202C5" w:rsidRPr="009E0FEF" w:rsidRDefault="001202C5" w:rsidP="006D5099">
      <w:pPr>
        <w:rPr>
          <w:b/>
          <w:sz w:val="22"/>
          <w:u w:val="single"/>
        </w:rPr>
      </w:pPr>
      <w:r w:rsidRPr="009E0FEF">
        <w:rPr>
          <w:b/>
          <w:sz w:val="22"/>
          <w:u w:val="single"/>
        </w:rPr>
        <w:t>*Safeguarding</w:t>
      </w:r>
    </w:p>
    <w:p w:rsidR="001202C5" w:rsidRPr="00B2159C" w:rsidRDefault="001202C5" w:rsidP="006D5099">
      <w:pPr>
        <w:rPr>
          <w:sz w:val="20"/>
        </w:rPr>
      </w:pPr>
    </w:p>
    <w:p w:rsidR="001202C5" w:rsidRPr="009E0FEF" w:rsidRDefault="001202C5" w:rsidP="006D5099">
      <w:pPr>
        <w:rPr>
          <w:sz w:val="22"/>
        </w:rPr>
      </w:pPr>
      <w:r w:rsidRPr="009E0FEF">
        <w:rPr>
          <w:b/>
          <w:sz w:val="22"/>
        </w:rPr>
        <w:t>Safeguarded sum(s)</w:t>
      </w:r>
      <w:r w:rsidRPr="009E0FEF">
        <w:rPr>
          <w:sz w:val="22"/>
        </w:rPr>
        <w:t xml:space="preserve"> </w:t>
      </w:r>
      <w:r w:rsidRPr="009E0FEF">
        <w:rPr>
          <w:i/>
          <w:sz w:val="22"/>
        </w:rPr>
        <w:t>(include as applicable)</w:t>
      </w:r>
    </w:p>
    <w:p w:rsidR="001202C5" w:rsidRPr="00B2159C" w:rsidRDefault="001202C5" w:rsidP="006D5099">
      <w:pPr>
        <w:rPr>
          <w:sz w:val="20"/>
        </w:rPr>
      </w:pPr>
    </w:p>
    <w:p w:rsidR="001202C5" w:rsidRPr="009E0FEF" w:rsidRDefault="001202C5" w:rsidP="006D5099">
      <w:pPr>
        <w:rPr>
          <w:i/>
          <w:sz w:val="22"/>
        </w:rPr>
      </w:pPr>
      <w:r w:rsidRPr="009E0FEF">
        <w:rPr>
          <w:sz w:val="22"/>
          <w:u w:val="single"/>
        </w:rPr>
        <w:t>Other safeguarding</w:t>
      </w:r>
      <w:r w:rsidRPr="009E0FEF">
        <w:rPr>
          <w:sz w:val="22"/>
        </w:rPr>
        <w:t xml:space="preserve"> - </w:t>
      </w:r>
      <w:r w:rsidRPr="009E0FEF">
        <w:rPr>
          <w:i/>
          <w:sz w:val="22"/>
        </w:rPr>
        <w:t>(type, nature and value of safeguarding)</w:t>
      </w:r>
    </w:p>
    <w:p w:rsidR="001202C5" w:rsidRPr="00917091" w:rsidRDefault="001202C5" w:rsidP="006D5099"/>
    <w:tbl>
      <w:tblPr>
        <w:tblStyle w:val="TableGrid"/>
        <w:tblW w:w="851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1202C5" w:rsidRPr="00917091" w:rsidTr="001202C5">
        <w:tc>
          <w:tcPr>
            <w:tcW w:w="8516" w:type="dxa"/>
            <w:tcBorders>
              <w:top w:val="single" w:sz="4" w:space="0" w:color="auto"/>
              <w:bottom w:val="single" w:sz="4" w:space="0" w:color="auto"/>
            </w:tcBorders>
          </w:tcPr>
          <w:p w:rsidR="001202C5" w:rsidRPr="00917091" w:rsidRDefault="001202C5" w:rsidP="006D5099"/>
        </w:tc>
      </w:tr>
      <w:tr w:rsidR="001202C5" w:rsidRPr="00917091" w:rsidTr="001202C5">
        <w:tc>
          <w:tcPr>
            <w:tcW w:w="8516" w:type="dxa"/>
            <w:tcBorders>
              <w:top w:val="single" w:sz="4" w:space="0" w:color="auto"/>
              <w:bottom w:val="single" w:sz="4" w:space="0" w:color="auto"/>
            </w:tcBorders>
          </w:tcPr>
          <w:p w:rsidR="001202C5" w:rsidRPr="00917091" w:rsidRDefault="001202C5" w:rsidP="006D5099"/>
        </w:tc>
      </w:tr>
    </w:tbl>
    <w:p w:rsidR="001202C5" w:rsidRPr="00B2159C" w:rsidRDefault="001202C5" w:rsidP="006D5099">
      <w:pPr>
        <w:rPr>
          <w:sz w:val="20"/>
        </w:rPr>
      </w:pPr>
    </w:p>
    <w:p w:rsidR="001202C5" w:rsidRPr="009E0FEF" w:rsidRDefault="001202C5" w:rsidP="006D5099">
      <w:pPr>
        <w:rPr>
          <w:sz w:val="22"/>
        </w:rPr>
      </w:pPr>
      <w:r w:rsidRPr="009E0FEF">
        <w:rPr>
          <w:sz w:val="22"/>
        </w:rPr>
        <w:t>For former leadership group members who are moved to the classroom teachers’ scale following internal re-organisation:</w:t>
      </w:r>
    </w:p>
    <w:p w:rsidR="001202C5" w:rsidRPr="00B2159C" w:rsidRDefault="001202C5" w:rsidP="006D5099">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446"/>
      </w:tblGrid>
      <w:tr w:rsidR="001202C5" w:rsidRPr="009E0FEF" w:rsidTr="001202C5">
        <w:tc>
          <w:tcPr>
            <w:tcW w:w="5070" w:type="dxa"/>
          </w:tcPr>
          <w:p w:rsidR="001202C5" w:rsidRPr="009E0FEF" w:rsidRDefault="001202C5" w:rsidP="006D5099">
            <w:pPr>
              <w:rPr>
                <w:sz w:val="22"/>
              </w:rPr>
            </w:pPr>
            <w:r w:rsidRPr="009E0FEF">
              <w:rPr>
                <w:sz w:val="22"/>
              </w:rPr>
              <w:t xml:space="preserve">Reason for the determination </w:t>
            </w:r>
          </w:p>
        </w:tc>
        <w:tc>
          <w:tcPr>
            <w:tcW w:w="3446" w:type="dxa"/>
            <w:tcBorders>
              <w:bottom w:val="single" w:sz="4" w:space="0" w:color="auto"/>
            </w:tcBorders>
          </w:tcPr>
          <w:p w:rsidR="001202C5" w:rsidRPr="009E0FEF" w:rsidRDefault="001202C5" w:rsidP="006D5099">
            <w:pPr>
              <w:rPr>
                <w:sz w:val="22"/>
              </w:rPr>
            </w:pPr>
          </w:p>
        </w:tc>
      </w:tr>
      <w:tr w:rsidR="001202C5" w:rsidRPr="009E0FEF" w:rsidTr="001202C5">
        <w:tc>
          <w:tcPr>
            <w:tcW w:w="5070" w:type="dxa"/>
          </w:tcPr>
          <w:p w:rsidR="001202C5" w:rsidRPr="009E0FEF" w:rsidRDefault="001202C5" w:rsidP="006D5099">
            <w:pPr>
              <w:rPr>
                <w:sz w:val="22"/>
              </w:rPr>
            </w:pPr>
            <w:r w:rsidRPr="009E0FEF">
              <w:rPr>
                <w:sz w:val="22"/>
              </w:rPr>
              <w:t>Date on which the determination implemented</w:t>
            </w:r>
          </w:p>
        </w:tc>
        <w:tc>
          <w:tcPr>
            <w:tcW w:w="3446" w:type="dxa"/>
            <w:tcBorders>
              <w:top w:val="single" w:sz="4" w:space="0" w:color="auto"/>
              <w:bottom w:val="single" w:sz="4" w:space="0" w:color="auto"/>
            </w:tcBorders>
          </w:tcPr>
          <w:p w:rsidR="001202C5" w:rsidRPr="009E0FEF" w:rsidRDefault="001202C5" w:rsidP="006D5099">
            <w:pPr>
              <w:rPr>
                <w:sz w:val="22"/>
              </w:rPr>
            </w:pPr>
          </w:p>
        </w:tc>
      </w:tr>
      <w:tr w:rsidR="001202C5" w:rsidRPr="009E0FEF" w:rsidTr="001202C5">
        <w:tc>
          <w:tcPr>
            <w:tcW w:w="5070" w:type="dxa"/>
          </w:tcPr>
          <w:p w:rsidR="001202C5" w:rsidRPr="009E0FEF" w:rsidRDefault="001202C5" w:rsidP="006D5099">
            <w:pPr>
              <w:rPr>
                <w:sz w:val="22"/>
              </w:rPr>
            </w:pPr>
            <w:r w:rsidRPr="009E0FEF">
              <w:rPr>
                <w:sz w:val="22"/>
              </w:rPr>
              <w:t xml:space="preserve">Date on which the safeguarding period will end </w:t>
            </w:r>
          </w:p>
        </w:tc>
        <w:tc>
          <w:tcPr>
            <w:tcW w:w="3446" w:type="dxa"/>
            <w:tcBorders>
              <w:top w:val="single" w:sz="4" w:space="0" w:color="auto"/>
              <w:bottom w:val="single" w:sz="4" w:space="0" w:color="auto"/>
            </w:tcBorders>
          </w:tcPr>
          <w:p w:rsidR="001202C5" w:rsidRPr="009E0FEF" w:rsidRDefault="001202C5" w:rsidP="006D5099">
            <w:pPr>
              <w:rPr>
                <w:sz w:val="22"/>
              </w:rPr>
            </w:pPr>
          </w:p>
        </w:tc>
      </w:tr>
      <w:tr w:rsidR="001202C5" w:rsidRPr="009E0FEF" w:rsidTr="001202C5">
        <w:tc>
          <w:tcPr>
            <w:tcW w:w="5070" w:type="dxa"/>
          </w:tcPr>
          <w:p w:rsidR="001202C5" w:rsidRPr="009E0FEF" w:rsidRDefault="001202C5" w:rsidP="006D5099">
            <w:pPr>
              <w:rPr>
                <w:sz w:val="22"/>
              </w:rPr>
            </w:pPr>
            <w:r w:rsidRPr="009E0FEF">
              <w:rPr>
                <w:sz w:val="22"/>
              </w:rPr>
              <w:t xml:space="preserve">Safeguarded sum </w:t>
            </w:r>
          </w:p>
        </w:tc>
        <w:tc>
          <w:tcPr>
            <w:tcW w:w="3446" w:type="dxa"/>
            <w:tcBorders>
              <w:top w:val="single" w:sz="4" w:space="0" w:color="auto"/>
              <w:bottom w:val="single" w:sz="4" w:space="0" w:color="auto"/>
            </w:tcBorders>
          </w:tcPr>
          <w:p w:rsidR="001202C5" w:rsidRPr="009E0FEF" w:rsidRDefault="001202C5" w:rsidP="006D5099">
            <w:pPr>
              <w:rPr>
                <w:sz w:val="22"/>
              </w:rPr>
            </w:pPr>
            <w:r w:rsidRPr="009E0FEF">
              <w:rPr>
                <w:sz w:val="22"/>
              </w:rPr>
              <w:t>£</w:t>
            </w:r>
          </w:p>
        </w:tc>
      </w:tr>
    </w:tbl>
    <w:p w:rsidR="001202C5" w:rsidRPr="009E0FEF" w:rsidRDefault="001202C5" w:rsidP="006D5099">
      <w:pPr>
        <w:rPr>
          <w:sz w:val="22"/>
        </w:rPr>
      </w:pPr>
      <w:r w:rsidRPr="009E0FEF">
        <w:rPr>
          <w:sz w:val="22"/>
        </w:rPr>
        <w:tab/>
      </w:r>
    </w:p>
    <w:p w:rsidR="001202C5" w:rsidRPr="009E0FEF" w:rsidRDefault="001202C5" w:rsidP="006D5099">
      <w:pPr>
        <w:rPr>
          <w:sz w:val="22"/>
        </w:rPr>
      </w:pPr>
      <w:r w:rsidRPr="009E0FEF">
        <w:rPr>
          <w:sz w:val="22"/>
        </w:rPr>
        <w:t>Guidance on safeguarding can be found in part 5 of the STPCD 201</w:t>
      </w:r>
      <w:r w:rsidR="000A24A2">
        <w:rPr>
          <w:sz w:val="22"/>
        </w:rPr>
        <w:t>7</w:t>
      </w:r>
      <w:r w:rsidRPr="009E0FEF">
        <w:rPr>
          <w:sz w:val="22"/>
        </w:rPr>
        <w:t>.</w:t>
      </w:r>
    </w:p>
    <w:p w:rsidR="001202C5" w:rsidRPr="009E0FEF" w:rsidRDefault="001202C5" w:rsidP="006D5099">
      <w:pPr>
        <w:rPr>
          <w:sz w:val="22"/>
        </w:rPr>
      </w:pPr>
      <w:r w:rsidRPr="009E0FEF">
        <w:rPr>
          <w:sz w:val="22"/>
        </w:rPr>
        <w:t xml:space="preserve"> </w:t>
      </w:r>
      <w:r w:rsidRPr="009E0FEF">
        <w:rPr>
          <w:sz w:val="22"/>
        </w:rPr>
        <w:tab/>
      </w:r>
    </w:p>
    <w:p w:rsidR="001202C5" w:rsidRPr="009E0FEF" w:rsidRDefault="001202C5" w:rsidP="006D5099">
      <w:pPr>
        <w:rPr>
          <w:sz w:val="22"/>
        </w:rPr>
      </w:pPr>
      <w:r w:rsidRPr="009E0FEF">
        <w:rPr>
          <w:sz w:val="22"/>
        </w:rPr>
        <w:t xml:space="preserve">The school’s staffing structure and Pay Policy may be inspected at: </w:t>
      </w:r>
    </w:p>
    <w:p w:rsidR="001202C5" w:rsidRPr="00917091" w:rsidRDefault="001202C5" w:rsidP="006D5099"/>
    <w:tbl>
      <w:tblPr>
        <w:tblStyle w:val="TableGrid"/>
        <w:tblW w:w="86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395"/>
        <w:gridCol w:w="4013"/>
        <w:gridCol w:w="108"/>
      </w:tblGrid>
      <w:tr w:rsidR="001202C5" w:rsidRPr="00917091" w:rsidTr="001202C5">
        <w:trPr>
          <w:gridBefore w:val="1"/>
          <w:wBefore w:w="108" w:type="dxa"/>
        </w:trPr>
        <w:tc>
          <w:tcPr>
            <w:tcW w:w="8516" w:type="dxa"/>
            <w:gridSpan w:val="3"/>
            <w:tcBorders>
              <w:top w:val="single" w:sz="4" w:space="0" w:color="auto"/>
              <w:bottom w:val="single" w:sz="4" w:space="0" w:color="auto"/>
            </w:tcBorders>
          </w:tcPr>
          <w:p w:rsidR="001202C5" w:rsidRPr="00917091" w:rsidRDefault="001202C5" w:rsidP="006D5099"/>
        </w:tc>
      </w:tr>
      <w:tr w:rsidR="001202C5" w:rsidRPr="009E0FEF" w:rsidTr="000048AC">
        <w:tblPrEx>
          <w:tblBorders>
            <w:bottom w:val="none" w:sz="0" w:space="0" w:color="auto"/>
          </w:tblBorders>
        </w:tblPrEx>
        <w:trPr>
          <w:gridAfter w:val="1"/>
          <w:wAfter w:w="108" w:type="dxa"/>
          <w:trHeight w:val="338"/>
        </w:trPr>
        <w:tc>
          <w:tcPr>
            <w:tcW w:w="4503" w:type="dxa"/>
            <w:gridSpan w:val="2"/>
            <w:vAlign w:val="bottom"/>
          </w:tcPr>
          <w:p w:rsidR="001202C5" w:rsidRPr="009E0FEF" w:rsidRDefault="001202C5" w:rsidP="006D5099">
            <w:pPr>
              <w:rPr>
                <w:b/>
                <w:sz w:val="22"/>
              </w:rPr>
            </w:pPr>
            <w:r w:rsidRPr="009E0FEF">
              <w:rPr>
                <w:b/>
                <w:sz w:val="22"/>
              </w:rPr>
              <w:t xml:space="preserve">Total Salary: </w:t>
            </w:r>
          </w:p>
        </w:tc>
        <w:tc>
          <w:tcPr>
            <w:tcW w:w="4013" w:type="dxa"/>
            <w:tcBorders>
              <w:bottom w:val="single" w:sz="4" w:space="0" w:color="auto"/>
            </w:tcBorders>
            <w:vAlign w:val="bottom"/>
          </w:tcPr>
          <w:p w:rsidR="001202C5" w:rsidRPr="009E0FEF" w:rsidRDefault="000048AC" w:rsidP="006D5099">
            <w:pPr>
              <w:rPr>
                <w:sz w:val="22"/>
              </w:rPr>
            </w:pPr>
            <w:r>
              <w:rPr>
                <w:sz w:val="22"/>
              </w:rPr>
              <w:t>£</w:t>
            </w:r>
          </w:p>
        </w:tc>
      </w:tr>
      <w:tr w:rsidR="001202C5" w:rsidRPr="009E0FEF" w:rsidTr="000048AC">
        <w:tblPrEx>
          <w:tblBorders>
            <w:bottom w:val="none" w:sz="0" w:space="0" w:color="auto"/>
          </w:tblBorders>
        </w:tblPrEx>
        <w:trPr>
          <w:gridAfter w:val="1"/>
          <w:wAfter w:w="108" w:type="dxa"/>
          <w:trHeight w:val="338"/>
        </w:trPr>
        <w:tc>
          <w:tcPr>
            <w:tcW w:w="4503" w:type="dxa"/>
            <w:gridSpan w:val="2"/>
            <w:vAlign w:val="bottom"/>
          </w:tcPr>
          <w:p w:rsidR="001202C5" w:rsidRPr="009E0FEF" w:rsidRDefault="001202C5" w:rsidP="006D5099">
            <w:pPr>
              <w:rPr>
                <w:b/>
                <w:sz w:val="22"/>
              </w:rPr>
            </w:pPr>
            <w:r w:rsidRPr="009E0FEF">
              <w:rPr>
                <w:b/>
                <w:sz w:val="22"/>
              </w:rPr>
              <w:t xml:space="preserve">Signed on behalf of the </w:t>
            </w:r>
            <w:r w:rsidR="00A34DEE">
              <w:rPr>
                <w:b/>
                <w:sz w:val="22"/>
              </w:rPr>
              <w:t>Governing Body/Trust Board</w:t>
            </w:r>
            <w:r w:rsidRPr="009E0FEF">
              <w:rPr>
                <w:b/>
                <w:sz w:val="22"/>
              </w:rPr>
              <w:t>:</w:t>
            </w:r>
          </w:p>
        </w:tc>
        <w:tc>
          <w:tcPr>
            <w:tcW w:w="4013" w:type="dxa"/>
            <w:tcBorders>
              <w:top w:val="single" w:sz="4" w:space="0" w:color="auto"/>
              <w:bottom w:val="single" w:sz="4" w:space="0" w:color="auto"/>
            </w:tcBorders>
            <w:vAlign w:val="bottom"/>
          </w:tcPr>
          <w:p w:rsidR="001202C5" w:rsidRPr="009E0FEF" w:rsidRDefault="001202C5" w:rsidP="006D5099">
            <w:pPr>
              <w:rPr>
                <w:sz w:val="22"/>
              </w:rPr>
            </w:pPr>
          </w:p>
        </w:tc>
      </w:tr>
      <w:tr w:rsidR="001202C5" w:rsidRPr="009E0FEF" w:rsidTr="000048AC">
        <w:tblPrEx>
          <w:tblBorders>
            <w:bottom w:val="none" w:sz="0" w:space="0" w:color="auto"/>
          </w:tblBorders>
        </w:tblPrEx>
        <w:trPr>
          <w:gridAfter w:val="1"/>
          <w:wAfter w:w="108" w:type="dxa"/>
          <w:trHeight w:val="338"/>
        </w:trPr>
        <w:tc>
          <w:tcPr>
            <w:tcW w:w="4503" w:type="dxa"/>
            <w:gridSpan w:val="2"/>
            <w:vAlign w:val="bottom"/>
          </w:tcPr>
          <w:p w:rsidR="001202C5" w:rsidRPr="009E0FEF" w:rsidRDefault="001202C5" w:rsidP="006D5099">
            <w:pPr>
              <w:rPr>
                <w:b/>
                <w:sz w:val="22"/>
              </w:rPr>
            </w:pPr>
            <w:r w:rsidRPr="009E0FEF">
              <w:rPr>
                <w:b/>
                <w:sz w:val="22"/>
              </w:rPr>
              <w:t>Name in capitals:</w:t>
            </w:r>
          </w:p>
        </w:tc>
        <w:tc>
          <w:tcPr>
            <w:tcW w:w="4013" w:type="dxa"/>
            <w:tcBorders>
              <w:top w:val="single" w:sz="4" w:space="0" w:color="auto"/>
              <w:bottom w:val="single" w:sz="4" w:space="0" w:color="auto"/>
            </w:tcBorders>
            <w:vAlign w:val="bottom"/>
          </w:tcPr>
          <w:p w:rsidR="001202C5" w:rsidRPr="009E0FEF" w:rsidRDefault="001202C5" w:rsidP="006D5099">
            <w:pPr>
              <w:rPr>
                <w:sz w:val="22"/>
              </w:rPr>
            </w:pPr>
          </w:p>
        </w:tc>
      </w:tr>
      <w:tr w:rsidR="001202C5" w:rsidRPr="009E0FEF" w:rsidTr="000048AC">
        <w:tblPrEx>
          <w:tblBorders>
            <w:bottom w:val="none" w:sz="0" w:space="0" w:color="auto"/>
          </w:tblBorders>
        </w:tblPrEx>
        <w:trPr>
          <w:gridAfter w:val="1"/>
          <w:wAfter w:w="108" w:type="dxa"/>
          <w:trHeight w:val="338"/>
        </w:trPr>
        <w:tc>
          <w:tcPr>
            <w:tcW w:w="4503" w:type="dxa"/>
            <w:gridSpan w:val="2"/>
            <w:vAlign w:val="bottom"/>
          </w:tcPr>
          <w:p w:rsidR="001202C5" w:rsidRPr="009E0FEF" w:rsidRDefault="001202C5" w:rsidP="006D5099">
            <w:pPr>
              <w:rPr>
                <w:b/>
                <w:sz w:val="22"/>
              </w:rPr>
            </w:pPr>
            <w:r w:rsidRPr="009E0FEF">
              <w:rPr>
                <w:b/>
                <w:sz w:val="22"/>
              </w:rPr>
              <w:t xml:space="preserve">Date: </w:t>
            </w:r>
          </w:p>
        </w:tc>
        <w:tc>
          <w:tcPr>
            <w:tcW w:w="4013" w:type="dxa"/>
            <w:tcBorders>
              <w:top w:val="single" w:sz="4" w:space="0" w:color="auto"/>
              <w:bottom w:val="single" w:sz="4" w:space="0" w:color="auto"/>
            </w:tcBorders>
            <w:vAlign w:val="bottom"/>
          </w:tcPr>
          <w:p w:rsidR="001202C5" w:rsidRPr="009E0FEF" w:rsidRDefault="001202C5" w:rsidP="006D5099">
            <w:pPr>
              <w:rPr>
                <w:sz w:val="22"/>
              </w:rPr>
            </w:pPr>
          </w:p>
        </w:tc>
      </w:tr>
    </w:tbl>
    <w:p w:rsidR="001202C5" w:rsidRPr="001202C5" w:rsidRDefault="00616CC0" w:rsidP="005572B8">
      <w:pPr>
        <w:rPr>
          <w:sz w:val="28"/>
        </w:rPr>
      </w:pPr>
      <w:bookmarkStart w:id="43" w:name="_Toc456702329"/>
      <w:r>
        <w:br w:type="page"/>
      </w:r>
      <w:bookmarkStart w:id="44" w:name="_Toc502239802"/>
      <w:r w:rsidR="001202C5" w:rsidRPr="00CC36C0">
        <w:rPr>
          <w:rStyle w:val="Heading1Char"/>
        </w:rPr>
        <w:t xml:space="preserve">Appendix </w:t>
      </w:r>
      <w:r w:rsidRPr="00CC36C0">
        <w:rPr>
          <w:rStyle w:val="Heading1Char"/>
        </w:rPr>
        <w:t>2</w:t>
      </w:r>
      <w:bookmarkEnd w:id="44"/>
      <w:r w:rsidRPr="00A96DF4">
        <w:t xml:space="preserve"> </w:t>
      </w:r>
      <w:r w:rsidRPr="00A96DF4">
        <w:rPr>
          <w:sz w:val="28"/>
        </w:rPr>
        <w:t>Guideline</w:t>
      </w:r>
      <w:r w:rsidR="001202C5" w:rsidRPr="0022493D">
        <w:rPr>
          <w:rStyle w:val="Heading2Char"/>
        </w:rPr>
        <w:t xml:space="preserve"> Pay Points and Agreed Ranges</w:t>
      </w:r>
      <w:bookmarkEnd w:id="43"/>
    </w:p>
    <w:tbl>
      <w:tblPr>
        <w:tblpPr w:leftFromText="180" w:rightFromText="180" w:vertAnchor="text" w:tblpY="1"/>
        <w:tblOverlap w:val="never"/>
        <w:tblW w:w="0" w:type="auto"/>
        <w:tblLook w:val="01E0" w:firstRow="1" w:lastRow="1" w:firstColumn="1" w:lastColumn="1" w:noHBand="0" w:noVBand="0"/>
      </w:tblPr>
      <w:tblGrid>
        <w:gridCol w:w="1668"/>
        <w:gridCol w:w="2268"/>
      </w:tblGrid>
      <w:tr w:rsidR="001202C5" w:rsidRPr="00DF1FAA" w:rsidTr="001202C5">
        <w:trPr>
          <w:trHeight w:val="84"/>
        </w:trPr>
        <w:tc>
          <w:tcPr>
            <w:tcW w:w="3936" w:type="dxa"/>
            <w:gridSpan w:val="2"/>
          </w:tcPr>
          <w:p w:rsidR="001202C5" w:rsidRDefault="001202C5" w:rsidP="006D5099">
            <w:pPr>
              <w:autoSpaceDE w:val="0"/>
              <w:autoSpaceDN w:val="0"/>
              <w:adjustRightInd w:val="0"/>
              <w:rPr>
                <w:sz w:val="20"/>
                <w:szCs w:val="18"/>
              </w:rPr>
            </w:pPr>
            <w:r w:rsidRPr="00DF1FAA">
              <w:rPr>
                <w:b/>
                <w:sz w:val="20"/>
                <w:szCs w:val="18"/>
              </w:rPr>
              <w:t>Pay Range for Unqualified Teachers</w:t>
            </w:r>
          </w:p>
        </w:tc>
      </w:tr>
      <w:tr w:rsidR="001202C5" w:rsidRPr="00DF1FAA" w:rsidTr="001202C5">
        <w:trPr>
          <w:trHeight w:val="84"/>
        </w:trPr>
        <w:tc>
          <w:tcPr>
            <w:tcW w:w="1668" w:type="dxa"/>
            <w:tcBorders>
              <w:bottom w:val="single" w:sz="4" w:space="0" w:color="auto"/>
            </w:tcBorders>
          </w:tcPr>
          <w:p w:rsidR="001202C5" w:rsidRPr="00DF1FAA" w:rsidRDefault="001202C5" w:rsidP="006D5099">
            <w:pPr>
              <w:autoSpaceDE w:val="0"/>
              <w:autoSpaceDN w:val="0"/>
              <w:adjustRightInd w:val="0"/>
              <w:rPr>
                <w:sz w:val="20"/>
                <w:szCs w:val="18"/>
              </w:rPr>
            </w:pPr>
          </w:p>
        </w:tc>
        <w:tc>
          <w:tcPr>
            <w:tcW w:w="2268" w:type="dxa"/>
            <w:tcBorders>
              <w:bottom w:val="single" w:sz="4" w:space="0" w:color="auto"/>
            </w:tcBorders>
          </w:tcPr>
          <w:p w:rsidR="001202C5" w:rsidRPr="00DF1FAA" w:rsidRDefault="001202C5" w:rsidP="006D5099">
            <w:pPr>
              <w:autoSpaceDE w:val="0"/>
              <w:autoSpaceDN w:val="0"/>
              <w:adjustRightInd w:val="0"/>
              <w:rPr>
                <w:sz w:val="20"/>
                <w:szCs w:val="18"/>
              </w:rPr>
            </w:pPr>
            <w:r>
              <w:rPr>
                <w:sz w:val="20"/>
                <w:szCs w:val="18"/>
              </w:rPr>
              <w:t>F</w:t>
            </w:r>
            <w:r w:rsidRPr="00DF1FAA">
              <w:rPr>
                <w:sz w:val="20"/>
                <w:szCs w:val="18"/>
              </w:rPr>
              <w:t>rom September 20</w:t>
            </w:r>
            <w:r w:rsidR="00A91EFA">
              <w:rPr>
                <w:sz w:val="20"/>
                <w:szCs w:val="18"/>
              </w:rPr>
              <w:t>17</w:t>
            </w:r>
          </w:p>
        </w:tc>
      </w:tr>
      <w:tr w:rsidR="001202C5" w:rsidRPr="00DF1FAA" w:rsidTr="001202C5">
        <w:trPr>
          <w:trHeight w:val="84"/>
        </w:trPr>
        <w:tc>
          <w:tcPr>
            <w:tcW w:w="1668" w:type="dxa"/>
            <w:tcBorders>
              <w:top w:val="single" w:sz="4" w:space="0" w:color="auto"/>
            </w:tcBorders>
          </w:tcPr>
          <w:p w:rsidR="001202C5" w:rsidRPr="00DF1FAA" w:rsidRDefault="001202C5" w:rsidP="006D5099">
            <w:pPr>
              <w:autoSpaceDE w:val="0"/>
              <w:autoSpaceDN w:val="0"/>
              <w:adjustRightInd w:val="0"/>
              <w:rPr>
                <w:sz w:val="20"/>
                <w:szCs w:val="18"/>
              </w:rPr>
            </w:pPr>
          </w:p>
        </w:tc>
        <w:tc>
          <w:tcPr>
            <w:tcW w:w="2268" w:type="dxa"/>
            <w:tcBorders>
              <w:top w:val="single" w:sz="4" w:space="0" w:color="auto"/>
            </w:tcBorders>
          </w:tcPr>
          <w:p w:rsidR="001202C5" w:rsidRDefault="001202C5" w:rsidP="006D5099">
            <w:pPr>
              <w:autoSpaceDE w:val="0"/>
              <w:autoSpaceDN w:val="0"/>
              <w:adjustRightInd w:val="0"/>
              <w:rPr>
                <w:sz w:val="20"/>
                <w:szCs w:val="18"/>
              </w:rPr>
            </w:pPr>
          </w:p>
        </w:tc>
      </w:tr>
      <w:tr w:rsidR="008F4B22" w:rsidRPr="00DF1FAA" w:rsidTr="001202C5">
        <w:tc>
          <w:tcPr>
            <w:tcW w:w="1668" w:type="dxa"/>
          </w:tcPr>
          <w:p w:rsidR="008F4B22" w:rsidRPr="00DF1FAA" w:rsidRDefault="008F4B22" w:rsidP="006D5099">
            <w:pPr>
              <w:autoSpaceDE w:val="0"/>
              <w:autoSpaceDN w:val="0"/>
              <w:adjustRightInd w:val="0"/>
              <w:rPr>
                <w:sz w:val="20"/>
                <w:szCs w:val="18"/>
              </w:rPr>
            </w:pPr>
            <w:r w:rsidRPr="00DF1FAA">
              <w:rPr>
                <w:sz w:val="20"/>
                <w:szCs w:val="18"/>
              </w:rPr>
              <w:t>1 (</w:t>
            </w:r>
            <w:r w:rsidRPr="00DF1FAA">
              <w:rPr>
                <w:i/>
                <w:sz w:val="20"/>
                <w:szCs w:val="18"/>
              </w:rPr>
              <w:t>minimum</w:t>
            </w:r>
            <w:r w:rsidRPr="00DF1FAA">
              <w:rPr>
                <w:sz w:val="20"/>
                <w:szCs w:val="18"/>
              </w:rPr>
              <w:t>)</w:t>
            </w:r>
          </w:p>
        </w:tc>
        <w:tc>
          <w:tcPr>
            <w:tcW w:w="2268" w:type="dxa"/>
          </w:tcPr>
          <w:p w:rsidR="008F4B22" w:rsidRPr="008F4B22" w:rsidRDefault="00A91EFA" w:rsidP="006D5099">
            <w:pPr>
              <w:autoSpaceDE w:val="0"/>
              <w:autoSpaceDN w:val="0"/>
              <w:adjustRightInd w:val="0"/>
              <w:rPr>
                <w:sz w:val="20"/>
                <w:szCs w:val="18"/>
              </w:rPr>
            </w:pPr>
            <w:r>
              <w:rPr>
                <w:sz w:val="20"/>
                <w:szCs w:val="18"/>
              </w:rPr>
              <w:t>£16,626</w:t>
            </w:r>
          </w:p>
        </w:tc>
      </w:tr>
      <w:tr w:rsidR="008F4B22" w:rsidRPr="00DF1FAA" w:rsidTr="001202C5">
        <w:tc>
          <w:tcPr>
            <w:tcW w:w="1668" w:type="dxa"/>
          </w:tcPr>
          <w:p w:rsidR="008F4B22" w:rsidRPr="00DF1FAA" w:rsidRDefault="008F4B22" w:rsidP="006D5099">
            <w:pPr>
              <w:autoSpaceDE w:val="0"/>
              <w:autoSpaceDN w:val="0"/>
              <w:adjustRightInd w:val="0"/>
              <w:rPr>
                <w:sz w:val="20"/>
                <w:szCs w:val="18"/>
              </w:rPr>
            </w:pPr>
            <w:r w:rsidRPr="00DF1FAA">
              <w:rPr>
                <w:sz w:val="20"/>
                <w:szCs w:val="18"/>
              </w:rPr>
              <w:t>2</w:t>
            </w:r>
          </w:p>
        </w:tc>
        <w:tc>
          <w:tcPr>
            <w:tcW w:w="2268" w:type="dxa"/>
          </w:tcPr>
          <w:p w:rsidR="008F4B22" w:rsidRPr="008F4B22" w:rsidRDefault="00A91EFA" w:rsidP="006D5099">
            <w:pPr>
              <w:autoSpaceDE w:val="0"/>
              <w:autoSpaceDN w:val="0"/>
              <w:adjustRightInd w:val="0"/>
              <w:rPr>
                <w:sz w:val="20"/>
                <w:szCs w:val="18"/>
              </w:rPr>
            </w:pPr>
            <w:r>
              <w:rPr>
                <w:sz w:val="20"/>
                <w:szCs w:val="18"/>
              </w:rPr>
              <w:t>£18,560</w:t>
            </w:r>
          </w:p>
        </w:tc>
      </w:tr>
      <w:tr w:rsidR="008F4B22" w:rsidRPr="00DF1FAA" w:rsidTr="001202C5">
        <w:tc>
          <w:tcPr>
            <w:tcW w:w="1668" w:type="dxa"/>
          </w:tcPr>
          <w:p w:rsidR="008F4B22" w:rsidRPr="00DF1FAA" w:rsidRDefault="008F4B22" w:rsidP="006D5099">
            <w:pPr>
              <w:autoSpaceDE w:val="0"/>
              <w:autoSpaceDN w:val="0"/>
              <w:adjustRightInd w:val="0"/>
              <w:rPr>
                <w:sz w:val="20"/>
                <w:szCs w:val="18"/>
              </w:rPr>
            </w:pPr>
            <w:r w:rsidRPr="00DF1FAA">
              <w:rPr>
                <w:sz w:val="20"/>
                <w:szCs w:val="18"/>
              </w:rPr>
              <w:t>3</w:t>
            </w:r>
          </w:p>
        </w:tc>
        <w:tc>
          <w:tcPr>
            <w:tcW w:w="2268" w:type="dxa"/>
          </w:tcPr>
          <w:p w:rsidR="008F4B22" w:rsidRPr="008F4B22" w:rsidRDefault="00A91EFA" w:rsidP="006D5099">
            <w:pPr>
              <w:autoSpaceDE w:val="0"/>
              <w:autoSpaceDN w:val="0"/>
              <w:adjustRightInd w:val="0"/>
              <w:rPr>
                <w:sz w:val="20"/>
                <w:szCs w:val="18"/>
              </w:rPr>
            </w:pPr>
            <w:r>
              <w:rPr>
                <w:sz w:val="20"/>
                <w:szCs w:val="18"/>
              </w:rPr>
              <w:t>£20,492</w:t>
            </w:r>
          </w:p>
        </w:tc>
      </w:tr>
      <w:tr w:rsidR="008F4B22" w:rsidRPr="00DF1FAA" w:rsidTr="001202C5">
        <w:tc>
          <w:tcPr>
            <w:tcW w:w="1668" w:type="dxa"/>
          </w:tcPr>
          <w:p w:rsidR="008F4B22" w:rsidRPr="00DF1FAA" w:rsidRDefault="008F4B22" w:rsidP="006D5099">
            <w:pPr>
              <w:autoSpaceDE w:val="0"/>
              <w:autoSpaceDN w:val="0"/>
              <w:adjustRightInd w:val="0"/>
              <w:rPr>
                <w:sz w:val="20"/>
                <w:szCs w:val="18"/>
              </w:rPr>
            </w:pPr>
            <w:r w:rsidRPr="00DF1FAA">
              <w:rPr>
                <w:sz w:val="20"/>
                <w:szCs w:val="18"/>
              </w:rPr>
              <w:t>4</w:t>
            </w:r>
          </w:p>
        </w:tc>
        <w:tc>
          <w:tcPr>
            <w:tcW w:w="2268" w:type="dxa"/>
          </w:tcPr>
          <w:p w:rsidR="008F4B22" w:rsidRPr="008F4B22" w:rsidRDefault="00A91EFA" w:rsidP="006D5099">
            <w:pPr>
              <w:autoSpaceDE w:val="0"/>
              <w:autoSpaceDN w:val="0"/>
              <w:adjustRightInd w:val="0"/>
              <w:rPr>
                <w:sz w:val="20"/>
                <w:szCs w:val="18"/>
              </w:rPr>
            </w:pPr>
            <w:r>
              <w:rPr>
                <w:sz w:val="20"/>
                <w:szCs w:val="18"/>
              </w:rPr>
              <w:t>£22,427</w:t>
            </w:r>
          </w:p>
        </w:tc>
      </w:tr>
      <w:tr w:rsidR="008F4B22" w:rsidRPr="00DF1FAA" w:rsidTr="001202C5">
        <w:tc>
          <w:tcPr>
            <w:tcW w:w="1668" w:type="dxa"/>
          </w:tcPr>
          <w:p w:rsidR="008F4B22" w:rsidRPr="00DF1FAA" w:rsidRDefault="008F4B22" w:rsidP="006D5099">
            <w:pPr>
              <w:autoSpaceDE w:val="0"/>
              <w:autoSpaceDN w:val="0"/>
              <w:adjustRightInd w:val="0"/>
              <w:rPr>
                <w:sz w:val="20"/>
                <w:szCs w:val="18"/>
              </w:rPr>
            </w:pPr>
            <w:r w:rsidRPr="00DF1FAA">
              <w:rPr>
                <w:sz w:val="20"/>
                <w:szCs w:val="18"/>
              </w:rPr>
              <w:t>5</w:t>
            </w:r>
          </w:p>
        </w:tc>
        <w:tc>
          <w:tcPr>
            <w:tcW w:w="2268" w:type="dxa"/>
          </w:tcPr>
          <w:p w:rsidR="008F4B22" w:rsidRPr="008F4B22" w:rsidRDefault="00A91EFA" w:rsidP="006D5099">
            <w:pPr>
              <w:autoSpaceDE w:val="0"/>
              <w:autoSpaceDN w:val="0"/>
              <w:adjustRightInd w:val="0"/>
              <w:rPr>
                <w:sz w:val="20"/>
                <w:szCs w:val="18"/>
              </w:rPr>
            </w:pPr>
            <w:r>
              <w:rPr>
                <w:sz w:val="20"/>
                <w:szCs w:val="18"/>
              </w:rPr>
              <w:t>£24,362</w:t>
            </w:r>
          </w:p>
        </w:tc>
      </w:tr>
      <w:tr w:rsidR="008F4B22" w:rsidRPr="00DF1FAA" w:rsidTr="001202C5">
        <w:trPr>
          <w:trHeight w:val="79"/>
        </w:trPr>
        <w:tc>
          <w:tcPr>
            <w:tcW w:w="1668" w:type="dxa"/>
          </w:tcPr>
          <w:p w:rsidR="008F4B22" w:rsidRPr="00DF1FAA" w:rsidRDefault="008F4B22" w:rsidP="006D5099">
            <w:pPr>
              <w:autoSpaceDE w:val="0"/>
              <w:autoSpaceDN w:val="0"/>
              <w:adjustRightInd w:val="0"/>
              <w:rPr>
                <w:sz w:val="20"/>
                <w:szCs w:val="18"/>
              </w:rPr>
            </w:pPr>
            <w:r w:rsidRPr="00DF1FAA">
              <w:rPr>
                <w:sz w:val="20"/>
                <w:szCs w:val="18"/>
              </w:rPr>
              <w:t>6 (</w:t>
            </w:r>
            <w:r w:rsidRPr="00DF1FAA">
              <w:rPr>
                <w:i/>
                <w:sz w:val="20"/>
                <w:szCs w:val="18"/>
              </w:rPr>
              <w:t>maximum</w:t>
            </w:r>
            <w:r w:rsidRPr="00DF1FAA">
              <w:rPr>
                <w:sz w:val="20"/>
                <w:szCs w:val="18"/>
              </w:rPr>
              <w:t>)</w:t>
            </w:r>
          </w:p>
        </w:tc>
        <w:tc>
          <w:tcPr>
            <w:tcW w:w="2268" w:type="dxa"/>
          </w:tcPr>
          <w:p w:rsidR="008F4B22" w:rsidRPr="008F4B22" w:rsidRDefault="00A91EFA" w:rsidP="006D5099">
            <w:pPr>
              <w:autoSpaceDE w:val="0"/>
              <w:autoSpaceDN w:val="0"/>
              <w:adjustRightInd w:val="0"/>
              <w:rPr>
                <w:sz w:val="20"/>
                <w:szCs w:val="18"/>
              </w:rPr>
            </w:pPr>
            <w:r>
              <w:rPr>
                <w:sz w:val="20"/>
                <w:szCs w:val="18"/>
              </w:rPr>
              <w:t>£26,295</w:t>
            </w:r>
          </w:p>
        </w:tc>
      </w:tr>
    </w:tbl>
    <w:tbl>
      <w:tblPr>
        <w:tblpPr w:leftFromText="180" w:rightFromText="180" w:vertAnchor="text" w:horzAnchor="page" w:tblpX="6967" w:tblpY="76"/>
        <w:tblOverlap w:val="never"/>
        <w:tblW w:w="2228" w:type="pct"/>
        <w:tblLayout w:type="fixed"/>
        <w:tblLook w:val="0000" w:firstRow="0" w:lastRow="0" w:firstColumn="0" w:lastColumn="0" w:noHBand="0" w:noVBand="0"/>
      </w:tblPr>
      <w:tblGrid>
        <w:gridCol w:w="1626"/>
        <w:gridCol w:w="2416"/>
      </w:tblGrid>
      <w:tr w:rsidR="001202C5" w:rsidRPr="00046B40" w:rsidTr="001202C5">
        <w:trPr>
          <w:trHeight w:val="227"/>
        </w:trPr>
        <w:tc>
          <w:tcPr>
            <w:tcW w:w="5000" w:type="pct"/>
            <w:gridSpan w:val="2"/>
          </w:tcPr>
          <w:p w:rsidR="001202C5" w:rsidRPr="00046B40" w:rsidRDefault="001202C5" w:rsidP="006D5099">
            <w:pPr>
              <w:pStyle w:val="Pa54"/>
              <w:rPr>
                <w:rFonts w:ascii="Arial" w:hAnsi="Arial" w:cs="Arial"/>
                <w:color w:val="808080" w:themeColor="background1" w:themeShade="80"/>
                <w:sz w:val="20"/>
                <w:szCs w:val="20"/>
              </w:rPr>
            </w:pPr>
            <w:r w:rsidRPr="001B6AE8">
              <w:rPr>
                <w:rFonts w:ascii="Arial" w:hAnsi="Arial" w:cs="Arial"/>
                <w:b/>
                <w:color w:val="808080" w:themeColor="background1" w:themeShade="80"/>
                <w:sz w:val="20"/>
                <w:szCs w:val="20"/>
              </w:rPr>
              <w:t>Pay Ranges for Leadership Group Pay</w:t>
            </w:r>
          </w:p>
        </w:tc>
      </w:tr>
      <w:tr w:rsidR="001202C5" w:rsidRPr="00046B40" w:rsidTr="001202C5">
        <w:trPr>
          <w:trHeight w:val="227"/>
        </w:trPr>
        <w:tc>
          <w:tcPr>
            <w:tcW w:w="2011" w:type="pct"/>
            <w:tcBorders>
              <w:bottom w:val="single" w:sz="4" w:space="0" w:color="auto"/>
            </w:tcBorders>
          </w:tcPr>
          <w:p w:rsidR="001202C5" w:rsidRPr="00046B40" w:rsidRDefault="001202C5" w:rsidP="006D5099">
            <w:pPr>
              <w:pStyle w:val="Pa54"/>
              <w:rPr>
                <w:rFonts w:ascii="Arial" w:hAnsi="Arial" w:cs="Arial"/>
                <w:color w:val="808080" w:themeColor="background1" w:themeShade="80"/>
                <w:sz w:val="20"/>
                <w:szCs w:val="20"/>
              </w:rPr>
            </w:pPr>
          </w:p>
        </w:tc>
        <w:tc>
          <w:tcPr>
            <w:tcW w:w="2989" w:type="pct"/>
            <w:tcBorders>
              <w:bottom w:val="single" w:sz="4" w:space="0" w:color="auto"/>
            </w:tcBorders>
          </w:tcPr>
          <w:p w:rsidR="001202C5" w:rsidRPr="00046B40" w:rsidRDefault="001202C5" w:rsidP="006D5099">
            <w:pPr>
              <w:pStyle w:val="Pa54"/>
              <w:rPr>
                <w:rFonts w:ascii="Arial" w:hAnsi="Arial" w:cs="Arial"/>
                <w:color w:val="808080" w:themeColor="background1" w:themeShade="80"/>
                <w:sz w:val="20"/>
                <w:szCs w:val="20"/>
              </w:rPr>
            </w:pPr>
            <w:r w:rsidRPr="00046B40">
              <w:rPr>
                <w:rFonts w:ascii="Arial" w:hAnsi="Arial" w:cs="Arial"/>
                <w:color w:val="808080" w:themeColor="background1" w:themeShade="80"/>
                <w:sz w:val="20"/>
                <w:szCs w:val="20"/>
              </w:rPr>
              <w:t>From September 201</w:t>
            </w:r>
            <w:r w:rsidR="00A91EFA">
              <w:rPr>
                <w:rFonts w:ascii="Arial" w:hAnsi="Arial" w:cs="Arial"/>
                <w:color w:val="808080" w:themeColor="background1" w:themeShade="80"/>
                <w:sz w:val="20"/>
                <w:szCs w:val="20"/>
              </w:rPr>
              <w:t>7</w:t>
            </w:r>
          </w:p>
        </w:tc>
      </w:tr>
      <w:tr w:rsidR="00536FEC" w:rsidRPr="00046B40" w:rsidTr="001202C5">
        <w:trPr>
          <w:trHeight w:val="230"/>
        </w:trPr>
        <w:tc>
          <w:tcPr>
            <w:tcW w:w="2011" w:type="pct"/>
            <w:tcBorders>
              <w:top w:val="single" w:sz="4" w:space="0" w:color="auto"/>
            </w:tcBorders>
          </w:tcPr>
          <w:p w:rsidR="00536FEC" w:rsidRPr="00046B40" w:rsidRDefault="00536FEC" w:rsidP="006D5099">
            <w:pPr>
              <w:pStyle w:val="Pa54"/>
              <w:rPr>
                <w:rFonts w:ascii="Arial" w:hAnsi="Arial" w:cs="Arial"/>
                <w:i/>
                <w:color w:val="808080" w:themeColor="background1" w:themeShade="80"/>
                <w:sz w:val="20"/>
                <w:szCs w:val="20"/>
              </w:rPr>
            </w:pPr>
            <w:r w:rsidRPr="00046B40">
              <w:rPr>
                <w:rFonts w:ascii="Arial" w:hAnsi="Arial" w:cs="Arial"/>
                <w:bCs/>
                <w:i/>
                <w:color w:val="808080" w:themeColor="background1" w:themeShade="80"/>
                <w:sz w:val="20"/>
                <w:szCs w:val="20"/>
              </w:rPr>
              <w:t>Minimum L1</w:t>
            </w:r>
          </w:p>
        </w:tc>
        <w:tc>
          <w:tcPr>
            <w:tcW w:w="2989" w:type="pct"/>
            <w:tcBorders>
              <w:top w:val="single" w:sz="4" w:space="0" w:color="auto"/>
            </w:tcBorders>
          </w:tcPr>
          <w:p w:rsidR="00536FEC" w:rsidRPr="00536FEC" w:rsidRDefault="002A49B4" w:rsidP="006D5099">
            <w:pPr>
              <w:pStyle w:val="Pa54"/>
              <w:rPr>
                <w:rFonts w:ascii="Arial" w:hAnsi="Arial" w:cs="Arial"/>
                <w:color w:val="7F7F7F" w:themeColor="text1" w:themeTint="80"/>
                <w:sz w:val="20"/>
                <w:szCs w:val="18"/>
              </w:rPr>
            </w:pPr>
            <w:r>
              <w:rPr>
                <w:rFonts w:ascii="Arial" w:hAnsi="Arial" w:cs="Arial"/>
                <w:color w:val="7F7F7F" w:themeColor="text1" w:themeTint="80"/>
                <w:sz w:val="20"/>
                <w:szCs w:val="18"/>
              </w:rPr>
              <w:t>£39,374</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L2</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£40,360</w:t>
            </w:r>
          </w:p>
        </w:tc>
      </w:tr>
      <w:tr w:rsidR="00536FEC" w:rsidRPr="00046B40" w:rsidTr="001202C5">
        <w:trPr>
          <w:trHeight w:val="293"/>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L3</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£41,368</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L4</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£42,398</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L5</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£43,454</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L6</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£44,544</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L7</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£45,743</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L8</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£46,799</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L9</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£47,967</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L10</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£49,199</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L11</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£50,476</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L12</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£51,639</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L13</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£52,930</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L14</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£54,250</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L15</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£55,600</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L16</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£57,077</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L17</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£58,389</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L18</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£59,857</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L19</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£61,341</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L20</w:t>
            </w:r>
          </w:p>
        </w:tc>
        <w:tc>
          <w:tcPr>
            <w:tcW w:w="2989" w:type="pct"/>
            <w:vAlign w:val="bottom"/>
          </w:tcPr>
          <w:p w:rsidR="00536FEC" w:rsidRPr="00536FEC" w:rsidRDefault="002A49B4" w:rsidP="006D5099">
            <w:pPr>
              <w:rPr>
                <w:color w:val="7F7F7F" w:themeColor="text1" w:themeTint="80"/>
                <w:sz w:val="20"/>
                <w:szCs w:val="18"/>
              </w:rPr>
            </w:pPr>
            <w:r>
              <w:rPr>
                <w:color w:val="7F7F7F" w:themeColor="text1" w:themeTint="80"/>
                <w:sz w:val="20"/>
                <w:szCs w:val="18"/>
              </w:rPr>
              <w:t>£62,863</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L21</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£64,417</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L22</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£66,017</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L23</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£67,652</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L24</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£69,330</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L25</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£71,053</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L26</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£72,810</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L27</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£74,615</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L28</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£76,466</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L29</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£78,359</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L30</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£80,310</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L31</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£82,293</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L32</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£84,339</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L33</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£86,435</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L34</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£88,571</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L35</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£90,773</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L36</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£93,020</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L37</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£95,333</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L38</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£97,692</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L39</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£100,072</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L40</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£102,570</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L41</w:t>
            </w:r>
          </w:p>
        </w:tc>
        <w:tc>
          <w:tcPr>
            <w:tcW w:w="2989" w:type="pct"/>
            <w:vAlign w:val="bottom"/>
          </w:tcPr>
          <w:p w:rsidR="00536FEC" w:rsidRPr="00536FEC" w:rsidRDefault="00536FEC" w:rsidP="006D5099">
            <w:pPr>
              <w:rPr>
                <w:color w:val="7F7F7F" w:themeColor="text1" w:themeTint="80"/>
                <w:sz w:val="20"/>
                <w:szCs w:val="18"/>
              </w:rPr>
            </w:pPr>
            <w:r w:rsidRPr="00536FEC">
              <w:rPr>
                <w:color w:val="7F7F7F" w:themeColor="text1" w:themeTint="80"/>
                <w:sz w:val="20"/>
                <w:szCs w:val="18"/>
              </w:rPr>
              <w:t>£10</w:t>
            </w:r>
            <w:r w:rsidR="00E8354A">
              <w:rPr>
                <w:color w:val="7F7F7F" w:themeColor="text1" w:themeTint="80"/>
                <w:sz w:val="20"/>
                <w:szCs w:val="18"/>
              </w:rPr>
              <w:t>5,132</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L42</w:t>
            </w:r>
          </w:p>
        </w:tc>
        <w:tc>
          <w:tcPr>
            <w:tcW w:w="2989" w:type="pct"/>
            <w:vAlign w:val="bottom"/>
          </w:tcPr>
          <w:p w:rsidR="00536FEC" w:rsidRPr="00536FEC" w:rsidRDefault="00E8354A" w:rsidP="006D5099">
            <w:pPr>
              <w:rPr>
                <w:color w:val="7F7F7F" w:themeColor="text1" w:themeTint="80"/>
                <w:sz w:val="20"/>
                <w:szCs w:val="18"/>
              </w:rPr>
            </w:pPr>
            <w:r>
              <w:rPr>
                <w:color w:val="7F7F7F" w:themeColor="text1" w:themeTint="80"/>
                <w:sz w:val="20"/>
                <w:szCs w:val="18"/>
              </w:rPr>
              <w:t>£107,766</w:t>
            </w:r>
          </w:p>
        </w:tc>
      </w:tr>
      <w:tr w:rsidR="00536FEC" w:rsidRPr="00046B40" w:rsidTr="001202C5">
        <w:trPr>
          <w:trHeight w:val="230"/>
        </w:trPr>
        <w:tc>
          <w:tcPr>
            <w:tcW w:w="2011" w:type="pct"/>
          </w:tcPr>
          <w:p w:rsidR="00536FEC" w:rsidRPr="00046B40" w:rsidRDefault="00536FEC" w:rsidP="006D5099">
            <w:pPr>
              <w:pStyle w:val="Pa54"/>
              <w:rPr>
                <w:rFonts w:ascii="Arial" w:hAnsi="Arial" w:cs="Arial"/>
                <w:bCs/>
                <w:i/>
                <w:color w:val="808080" w:themeColor="background1" w:themeShade="80"/>
                <w:sz w:val="20"/>
                <w:szCs w:val="20"/>
              </w:rPr>
            </w:pPr>
            <w:r w:rsidRPr="00046B40">
              <w:rPr>
                <w:rFonts w:ascii="Arial" w:hAnsi="Arial" w:cs="Arial"/>
                <w:bCs/>
                <w:i/>
                <w:color w:val="808080" w:themeColor="background1" w:themeShade="80"/>
                <w:sz w:val="20"/>
                <w:szCs w:val="20"/>
              </w:rPr>
              <w:t>Maximum L43</w:t>
            </w:r>
          </w:p>
        </w:tc>
        <w:tc>
          <w:tcPr>
            <w:tcW w:w="2989" w:type="pct"/>
          </w:tcPr>
          <w:p w:rsidR="00536FEC" w:rsidRPr="00536FEC" w:rsidRDefault="00E8354A" w:rsidP="006D5099">
            <w:pPr>
              <w:pStyle w:val="Default"/>
              <w:rPr>
                <w:color w:val="7F7F7F" w:themeColor="text1" w:themeTint="80"/>
                <w:sz w:val="20"/>
                <w:szCs w:val="18"/>
              </w:rPr>
            </w:pPr>
            <w:r>
              <w:rPr>
                <w:color w:val="7F7F7F" w:themeColor="text1" w:themeTint="80"/>
                <w:sz w:val="20"/>
                <w:szCs w:val="18"/>
              </w:rPr>
              <w:t>£109,366</w:t>
            </w:r>
          </w:p>
        </w:tc>
      </w:tr>
    </w:tbl>
    <w:p w:rsidR="001202C5" w:rsidRDefault="001202C5" w:rsidP="006D5099">
      <w:pPr>
        <w:pStyle w:val="Header"/>
        <w:tabs>
          <w:tab w:val="left" w:pos="360"/>
          <w:tab w:val="left" w:pos="1440"/>
        </w:tabs>
      </w:pPr>
    </w:p>
    <w:p w:rsidR="001202C5" w:rsidRDefault="001202C5" w:rsidP="006D5099">
      <w:pPr>
        <w:pStyle w:val="Header"/>
        <w:tabs>
          <w:tab w:val="left" w:pos="360"/>
          <w:tab w:val="left" w:pos="1440"/>
        </w:tabs>
        <w:rPr>
          <w:b/>
          <w:sz w:val="20"/>
          <w:szCs w:val="18"/>
        </w:rPr>
      </w:pPr>
    </w:p>
    <w:p w:rsidR="001202C5" w:rsidRDefault="001202C5" w:rsidP="006D5099">
      <w:pPr>
        <w:pStyle w:val="Header"/>
        <w:tabs>
          <w:tab w:val="left" w:pos="360"/>
          <w:tab w:val="left" w:pos="1440"/>
        </w:tabs>
        <w:rPr>
          <w:b/>
          <w:sz w:val="20"/>
          <w:szCs w:val="18"/>
        </w:rPr>
      </w:pPr>
    </w:p>
    <w:p w:rsidR="001202C5" w:rsidRDefault="001202C5" w:rsidP="006D5099">
      <w:pPr>
        <w:pStyle w:val="Header"/>
        <w:tabs>
          <w:tab w:val="left" w:pos="360"/>
          <w:tab w:val="left" w:pos="1440"/>
        </w:tabs>
        <w:rPr>
          <w:b/>
          <w:sz w:val="20"/>
          <w:szCs w:val="18"/>
        </w:rPr>
      </w:pPr>
    </w:p>
    <w:p w:rsidR="001202C5" w:rsidRDefault="001202C5" w:rsidP="006D5099">
      <w:pPr>
        <w:pStyle w:val="Header"/>
        <w:tabs>
          <w:tab w:val="left" w:pos="360"/>
          <w:tab w:val="left" w:pos="1440"/>
        </w:tabs>
        <w:rPr>
          <w:b/>
          <w:sz w:val="20"/>
          <w:szCs w:val="18"/>
        </w:rPr>
      </w:pPr>
    </w:p>
    <w:p w:rsidR="001202C5" w:rsidRDefault="001202C5" w:rsidP="006D5099">
      <w:pPr>
        <w:pStyle w:val="Header"/>
        <w:tabs>
          <w:tab w:val="left" w:pos="360"/>
          <w:tab w:val="left" w:pos="1440"/>
        </w:tabs>
        <w:rPr>
          <w:b/>
          <w:sz w:val="20"/>
          <w:szCs w:val="18"/>
        </w:rPr>
      </w:pPr>
    </w:p>
    <w:p w:rsidR="001202C5" w:rsidRDefault="001202C5" w:rsidP="006D5099">
      <w:pPr>
        <w:pStyle w:val="Header"/>
        <w:tabs>
          <w:tab w:val="left" w:pos="360"/>
          <w:tab w:val="left" w:pos="1440"/>
        </w:tabs>
        <w:rPr>
          <w:b/>
          <w:sz w:val="20"/>
          <w:szCs w:val="18"/>
        </w:rPr>
      </w:pPr>
    </w:p>
    <w:p w:rsidR="001202C5" w:rsidRDefault="001202C5" w:rsidP="006D5099">
      <w:pPr>
        <w:pStyle w:val="Header"/>
        <w:tabs>
          <w:tab w:val="left" w:pos="360"/>
          <w:tab w:val="left" w:pos="1440"/>
        </w:tabs>
        <w:rPr>
          <w:b/>
          <w:sz w:val="20"/>
          <w:szCs w:val="18"/>
        </w:rPr>
      </w:pPr>
    </w:p>
    <w:p w:rsidR="001202C5" w:rsidRPr="00046B40" w:rsidRDefault="001202C5" w:rsidP="006D5099">
      <w:pPr>
        <w:pStyle w:val="Header"/>
        <w:tabs>
          <w:tab w:val="left" w:pos="360"/>
          <w:tab w:val="left" w:pos="1440"/>
        </w:tabs>
        <w:rPr>
          <w:b/>
          <w:sz w:val="16"/>
          <w:szCs w:val="18"/>
        </w:rPr>
      </w:pPr>
    </w:p>
    <w:p w:rsidR="001202C5" w:rsidRPr="00A96DF4" w:rsidRDefault="001202C5" w:rsidP="006D5099">
      <w:pPr>
        <w:rPr>
          <w:sz w:val="12"/>
        </w:rPr>
      </w:pPr>
    </w:p>
    <w:tbl>
      <w:tblPr>
        <w:tblW w:w="0" w:type="auto"/>
        <w:tblLook w:val="01E0" w:firstRow="1" w:lastRow="1" w:firstColumn="1" w:lastColumn="1" w:noHBand="0" w:noVBand="0"/>
      </w:tblPr>
      <w:tblGrid>
        <w:gridCol w:w="1668"/>
        <w:gridCol w:w="2268"/>
      </w:tblGrid>
      <w:tr w:rsidR="001202C5" w:rsidRPr="00DF1FAA" w:rsidTr="001202C5">
        <w:tc>
          <w:tcPr>
            <w:tcW w:w="3936" w:type="dxa"/>
            <w:gridSpan w:val="2"/>
          </w:tcPr>
          <w:p w:rsidR="001202C5" w:rsidRPr="001B6AE8" w:rsidRDefault="001202C5" w:rsidP="006D5099">
            <w:pPr>
              <w:pStyle w:val="Header"/>
              <w:tabs>
                <w:tab w:val="left" w:pos="360"/>
                <w:tab w:val="left" w:pos="1440"/>
              </w:tabs>
              <w:rPr>
                <w:b/>
                <w:sz w:val="20"/>
                <w:szCs w:val="18"/>
              </w:rPr>
            </w:pPr>
            <w:r w:rsidRPr="00DF1FAA">
              <w:rPr>
                <w:b/>
                <w:sz w:val="20"/>
                <w:szCs w:val="18"/>
              </w:rPr>
              <w:t>Pay Range for Classroom Teachers</w:t>
            </w:r>
          </w:p>
        </w:tc>
      </w:tr>
      <w:tr w:rsidR="001202C5" w:rsidRPr="00DF1FAA" w:rsidTr="001202C5">
        <w:tc>
          <w:tcPr>
            <w:tcW w:w="1668" w:type="dxa"/>
            <w:tcBorders>
              <w:bottom w:val="single" w:sz="4" w:space="0" w:color="auto"/>
            </w:tcBorders>
          </w:tcPr>
          <w:p w:rsidR="001202C5" w:rsidRPr="00DF1FAA" w:rsidRDefault="001202C5" w:rsidP="006D5099">
            <w:pPr>
              <w:pStyle w:val="Header"/>
              <w:tabs>
                <w:tab w:val="left" w:pos="360"/>
                <w:tab w:val="left" w:pos="1440"/>
              </w:tabs>
              <w:rPr>
                <w:sz w:val="20"/>
                <w:szCs w:val="18"/>
              </w:rPr>
            </w:pPr>
          </w:p>
        </w:tc>
        <w:tc>
          <w:tcPr>
            <w:tcW w:w="2268" w:type="dxa"/>
            <w:tcBorders>
              <w:bottom w:val="single" w:sz="4" w:space="0" w:color="auto"/>
            </w:tcBorders>
          </w:tcPr>
          <w:p w:rsidR="001202C5" w:rsidRPr="00DF1FAA" w:rsidRDefault="001202C5" w:rsidP="006D5099">
            <w:pPr>
              <w:pStyle w:val="Header"/>
              <w:tabs>
                <w:tab w:val="left" w:pos="360"/>
                <w:tab w:val="left" w:pos="1440"/>
              </w:tabs>
              <w:rPr>
                <w:sz w:val="20"/>
                <w:szCs w:val="18"/>
              </w:rPr>
            </w:pPr>
            <w:r>
              <w:rPr>
                <w:sz w:val="20"/>
                <w:szCs w:val="18"/>
              </w:rPr>
              <w:t>F</w:t>
            </w:r>
            <w:r w:rsidRPr="00DF1FAA">
              <w:rPr>
                <w:sz w:val="20"/>
                <w:szCs w:val="18"/>
              </w:rPr>
              <w:t>rom September 201</w:t>
            </w:r>
            <w:r w:rsidR="00A91EFA">
              <w:rPr>
                <w:sz w:val="20"/>
                <w:szCs w:val="18"/>
              </w:rPr>
              <w:t>7</w:t>
            </w:r>
          </w:p>
        </w:tc>
      </w:tr>
      <w:tr w:rsidR="001202C5" w:rsidRPr="00DF1FAA" w:rsidTr="001202C5">
        <w:tc>
          <w:tcPr>
            <w:tcW w:w="1668" w:type="dxa"/>
            <w:tcBorders>
              <w:top w:val="single" w:sz="4" w:space="0" w:color="auto"/>
            </w:tcBorders>
          </w:tcPr>
          <w:p w:rsidR="001202C5" w:rsidRPr="00DF1FAA" w:rsidRDefault="001202C5" w:rsidP="006D5099">
            <w:pPr>
              <w:pStyle w:val="Header"/>
              <w:tabs>
                <w:tab w:val="left" w:pos="360"/>
                <w:tab w:val="left" w:pos="1440"/>
              </w:tabs>
              <w:rPr>
                <w:sz w:val="20"/>
                <w:szCs w:val="18"/>
              </w:rPr>
            </w:pPr>
          </w:p>
        </w:tc>
        <w:tc>
          <w:tcPr>
            <w:tcW w:w="2268" w:type="dxa"/>
            <w:tcBorders>
              <w:top w:val="single" w:sz="4" w:space="0" w:color="auto"/>
            </w:tcBorders>
          </w:tcPr>
          <w:p w:rsidR="001202C5" w:rsidRPr="00DF1FAA" w:rsidRDefault="001202C5" w:rsidP="006D5099">
            <w:pPr>
              <w:pStyle w:val="Header"/>
              <w:tabs>
                <w:tab w:val="left" w:pos="360"/>
                <w:tab w:val="left" w:pos="1440"/>
              </w:tabs>
              <w:rPr>
                <w:sz w:val="20"/>
                <w:szCs w:val="18"/>
              </w:rPr>
            </w:pPr>
          </w:p>
        </w:tc>
      </w:tr>
      <w:tr w:rsidR="008F4B22" w:rsidRPr="00DF1FAA" w:rsidTr="001202C5">
        <w:tc>
          <w:tcPr>
            <w:tcW w:w="1668" w:type="dxa"/>
          </w:tcPr>
          <w:p w:rsidR="008F4B22" w:rsidRPr="00DF1FAA" w:rsidRDefault="008F4B22" w:rsidP="006D5099">
            <w:pPr>
              <w:pStyle w:val="Header"/>
              <w:tabs>
                <w:tab w:val="left" w:pos="360"/>
                <w:tab w:val="left" w:pos="1440"/>
              </w:tabs>
              <w:rPr>
                <w:sz w:val="20"/>
                <w:szCs w:val="18"/>
              </w:rPr>
            </w:pPr>
            <w:r w:rsidRPr="00DF1FAA">
              <w:rPr>
                <w:sz w:val="20"/>
                <w:szCs w:val="18"/>
              </w:rPr>
              <w:t>1 (</w:t>
            </w:r>
            <w:r w:rsidRPr="00DF1FAA">
              <w:rPr>
                <w:i/>
                <w:sz w:val="20"/>
                <w:szCs w:val="18"/>
              </w:rPr>
              <w:t>minimum</w:t>
            </w:r>
            <w:r w:rsidRPr="00DF1FAA">
              <w:rPr>
                <w:sz w:val="20"/>
                <w:szCs w:val="18"/>
              </w:rPr>
              <w:t>)</w:t>
            </w:r>
          </w:p>
        </w:tc>
        <w:tc>
          <w:tcPr>
            <w:tcW w:w="2268" w:type="dxa"/>
          </w:tcPr>
          <w:p w:rsidR="008F4B22" w:rsidRPr="008F4B22" w:rsidRDefault="00A91EFA" w:rsidP="006D5099">
            <w:pPr>
              <w:pStyle w:val="Header"/>
              <w:tabs>
                <w:tab w:val="left" w:pos="360"/>
                <w:tab w:val="left" w:pos="1440"/>
              </w:tabs>
              <w:rPr>
                <w:sz w:val="20"/>
                <w:szCs w:val="18"/>
              </w:rPr>
            </w:pPr>
            <w:r>
              <w:rPr>
                <w:sz w:val="20"/>
                <w:szCs w:val="18"/>
              </w:rPr>
              <w:t>£22,917</w:t>
            </w:r>
            <w:r w:rsidR="009E11B2">
              <w:rPr>
                <w:sz w:val="20"/>
                <w:szCs w:val="18"/>
              </w:rPr>
              <w:t xml:space="preserve"> </w:t>
            </w:r>
          </w:p>
        </w:tc>
      </w:tr>
      <w:tr w:rsidR="008F4B22" w:rsidRPr="00DF1FAA" w:rsidTr="001202C5">
        <w:tc>
          <w:tcPr>
            <w:tcW w:w="1668" w:type="dxa"/>
          </w:tcPr>
          <w:p w:rsidR="008F4B22" w:rsidRPr="00DF1FAA" w:rsidRDefault="008F4B22" w:rsidP="006D5099">
            <w:pPr>
              <w:pStyle w:val="Header"/>
              <w:tabs>
                <w:tab w:val="left" w:pos="360"/>
                <w:tab w:val="left" w:pos="1440"/>
              </w:tabs>
              <w:rPr>
                <w:sz w:val="20"/>
                <w:szCs w:val="18"/>
              </w:rPr>
            </w:pPr>
            <w:r w:rsidRPr="00DF1FAA">
              <w:rPr>
                <w:sz w:val="20"/>
                <w:szCs w:val="18"/>
              </w:rPr>
              <w:t>2</w:t>
            </w:r>
          </w:p>
        </w:tc>
        <w:tc>
          <w:tcPr>
            <w:tcW w:w="2268" w:type="dxa"/>
          </w:tcPr>
          <w:p w:rsidR="008F4B22" w:rsidRPr="008F4B22" w:rsidRDefault="00A91EFA" w:rsidP="006D5099">
            <w:pPr>
              <w:pStyle w:val="Header"/>
              <w:tabs>
                <w:tab w:val="left" w:pos="360"/>
                <w:tab w:val="left" w:pos="1440"/>
              </w:tabs>
              <w:rPr>
                <w:sz w:val="20"/>
                <w:szCs w:val="18"/>
              </w:rPr>
            </w:pPr>
            <w:r>
              <w:rPr>
                <w:sz w:val="20"/>
                <w:szCs w:val="18"/>
              </w:rPr>
              <w:t>£24,</w:t>
            </w:r>
            <w:r w:rsidR="00957164">
              <w:rPr>
                <w:sz w:val="20"/>
                <w:szCs w:val="18"/>
              </w:rPr>
              <w:t>728</w:t>
            </w:r>
            <w:r w:rsidR="009E11B2">
              <w:rPr>
                <w:sz w:val="20"/>
                <w:szCs w:val="18"/>
              </w:rPr>
              <w:t xml:space="preserve"> </w:t>
            </w:r>
          </w:p>
        </w:tc>
      </w:tr>
      <w:tr w:rsidR="008F4B22" w:rsidRPr="00DF1FAA" w:rsidTr="001202C5">
        <w:tc>
          <w:tcPr>
            <w:tcW w:w="1668" w:type="dxa"/>
          </w:tcPr>
          <w:p w:rsidR="008F4B22" w:rsidRPr="00DF1FAA" w:rsidRDefault="008F4B22" w:rsidP="006D5099">
            <w:pPr>
              <w:pStyle w:val="Header"/>
              <w:tabs>
                <w:tab w:val="left" w:pos="360"/>
                <w:tab w:val="left" w:pos="1440"/>
              </w:tabs>
              <w:rPr>
                <w:sz w:val="20"/>
                <w:szCs w:val="18"/>
              </w:rPr>
            </w:pPr>
            <w:r w:rsidRPr="00DF1FAA">
              <w:rPr>
                <w:sz w:val="20"/>
                <w:szCs w:val="18"/>
              </w:rPr>
              <w:t>3</w:t>
            </w:r>
          </w:p>
        </w:tc>
        <w:tc>
          <w:tcPr>
            <w:tcW w:w="2268" w:type="dxa"/>
          </w:tcPr>
          <w:p w:rsidR="008F4B22" w:rsidRPr="008F4B22" w:rsidRDefault="00A91EFA" w:rsidP="006D5099">
            <w:pPr>
              <w:pStyle w:val="Header"/>
              <w:tabs>
                <w:tab w:val="left" w:pos="360"/>
                <w:tab w:val="left" w:pos="1440"/>
              </w:tabs>
              <w:rPr>
                <w:sz w:val="20"/>
                <w:szCs w:val="18"/>
              </w:rPr>
            </w:pPr>
            <w:r>
              <w:rPr>
                <w:sz w:val="20"/>
                <w:szCs w:val="18"/>
              </w:rPr>
              <w:t>£26,</w:t>
            </w:r>
            <w:r w:rsidR="00957164">
              <w:rPr>
                <w:sz w:val="20"/>
                <w:szCs w:val="18"/>
              </w:rPr>
              <w:t>716</w:t>
            </w:r>
            <w:r w:rsidR="009E11B2">
              <w:rPr>
                <w:sz w:val="20"/>
                <w:szCs w:val="18"/>
              </w:rPr>
              <w:t xml:space="preserve"> </w:t>
            </w:r>
          </w:p>
        </w:tc>
      </w:tr>
      <w:tr w:rsidR="008F4B22" w:rsidRPr="00DF1FAA" w:rsidTr="001202C5">
        <w:tc>
          <w:tcPr>
            <w:tcW w:w="1668" w:type="dxa"/>
          </w:tcPr>
          <w:p w:rsidR="008F4B22" w:rsidRPr="00DF1FAA" w:rsidRDefault="008F4B22" w:rsidP="006D5099">
            <w:pPr>
              <w:pStyle w:val="Header"/>
              <w:tabs>
                <w:tab w:val="left" w:pos="360"/>
                <w:tab w:val="left" w:pos="1440"/>
              </w:tabs>
              <w:rPr>
                <w:sz w:val="20"/>
                <w:szCs w:val="18"/>
              </w:rPr>
            </w:pPr>
            <w:r w:rsidRPr="00DF1FAA">
              <w:rPr>
                <w:sz w:val="20"/>
                <w:szCs w:val="18"/>
              </w:rPr>
              <w:t>4</w:t>
            </w:r>
          </w:p>
        </w:tc>
        <w:tc>
          <w:tcPr>
            <w:tcW w:w="2268" w:type="dxa"/>
          </w:tcPr>
          <w:p w:rsidR="008F4B22" w:rsidRPr="008F4B22" w:rsidRDefault="00A91EFA" w:rsidP="006D5099">
            <w:pPr>
              <w:pStyle w:val="Header"/>
              <w:tabs>
                <w:tab w:val="left" w:pos="360"/>
                <w:tab w:val="left" w:pos="1440"/>
              </w:tabs>
              <w:rPr>
                <w:sz w:val="20"/>
                <w:szCs w:val="18"/>
              </w:rPr>
            </w:pPr>
            <w:r>
              <w:rPr>
                <w:sz w:val="20"/>
                <w:szCs w:val="18"/>
              </w:rPr>
              <w:t>£28,</w:t>
            </w:r>
            <w:r w:rsidR="00957164">
              <w:rPr>
                <w:sz w:val="20"/>
                <w:szCs w:val="18"/>
              </w:rPr>
              <w:t>772</w:t>
            </w:r>
          </w:p>
        </w:tc>
      </w:tr>
      <w:tr w:rsidR="008F4B22" w:rsidRPr="00DF1FAA" w:rsidTr="001202C5">
        <w:tc>
          <w:tcPr>
            <w:tcW w:w="1668" w:type="dxa"/>
          </w:tcPr>
          <w:p w:rsidR="008F4B22" w:rsidRPr="00DF1FAA" w:rsidRDefault="008F4B22" w:rsidP="006D5099">
            <w:pPr>
              <w:pStyle w:val="Header"/>
              <w:tabs>
                <w:tab w:val="left" w:pos="360"/>
                <w:tab w:val="left" w:pos="1440"/>
              </w:tabs>
              <w:rPr>
                <w:sz w:val="20"/>
                <w:szCs w:val="18"/>
              </w:rPr>
            </w:pPr>
            <w:r w:rsidRPr="00DF1FAA">
              <w:rPr>
                <w:sz w:val="20"/>
                <w:szCs w:val="18"/>
              </w:rPr>
              <w:t>5</w:t>
            </w:r>
          </w:p>
        </w:tc>
        <w:tc>
          <w:tcPr>
            <w:tcW w:w="2268" w:type="dxa"/>
          </w:tcPr>
          <w:p w:rsidR="008F4B22" w:rsidRPr="008F4B22" w:rsidRDefault="00A91EFA" w:rsidP="006D5099">
            <w:pPr>
              <w:pStyle w:val="Header"/>
              <w:tabs>
                <w:tab w:val="left" w:pos="360"/>
                <w:tab w:val="left" w:pos="1440"/>
              </w:tabs>
              <w:rPr>
                <w:sz w:val="20"/>
                <w:szCs w:val="18"/>
              </w:rPr>
            </w:pPr>
            <w:r>
              <w:rPr>
                <w:sz w:val="20"/>
                <w:szCs w:val="18"/>
              </w:rPr>
              <w:t>£</w:t>
            </w:r>
            <w:r w:rsidR="0026482B">
              <w:rPr>
                <w:sz w:val="20"/>
                <w:szCs w:val="18"/>
              </w:rPr>
              <w:t>3</w:t>
            </w:r>
            <w:r w:rsidR="00957164">
              <w:rPr>
                <w:sz w:val="20"/>
                <w:szCs w:val="18"/>
              </w:rPr>
              <w:t>1,039</w:t>
            </w:r>
          </w:p>
        </w:tc>
      </w:tr>
      <w:tr w:rsidR="008F4B22" w:rsidRPr="00DF1FAA" w:rsidTr="001202C5">
        <w:trPr>
          <w:trHeight w:val="89"/>
        </w:trPr>
        <w:tc>
          <w:tcPr>
            <w:tcW w:w="1668" w:type="dxa"/>
          </w:tcPr>
          <w:p w:rsidR="008F4B22" w:rsidRPr="00DF1FAA" w:rsidRDefault="008F4B22" w:rsidP="006D5099">
            <w:pPr>
              <w:pStyle w:val="Header"/>
              <w:tabs>
                <w:tab w:val="left" w:pos="360"/>
                <w:tab w:val="left" w:pos="1440"/>
              </w:tabs>
              <w:rPr>
                <w:sz w:val="20"/>
                <w:szCs w:val="18"/>
              </w:rPr>
            </w:pPr>
            <w:r w:rsidRPr="00DF1FAA">
              <w:rPr>
                <w:sz w:val="20"/>
                <w:szCs w:val="18"/>
              </w:rPr>
              <w:t>6 (</w:t>
            </w:r>
            <w:r w:rsidRPr="00DF1FAA">
              <w:rPr>
                <w:i/>
                <w:sz w:val="20"/>
                <w:szCs w:val="18"/>
              </w:rPr>
              <w:t>maximum</w:t>
            </w:r>
            <w:r w:rsidRPr="00DF1FAA">
              <w:rPr>
                <w:sz w:val="20"/>
                <w:szCs w:val="18"/>
              </w:rPr>
              <w:t>)</w:t>
            </w:r>
          </w:p>
        </w:tc>
        <w:tc>
          <w:tcPr>
            <w:tcW w:w="2268" w:type="dxa"/>
          </w:tcPr>
          <w:p w:rsidR="008F4B22" w:rsidRPr="008F4B22" w:rsidRDefault="00A91EFA" w:rsidP="006D5099">
            <w:pPr>
              <w:pStyle w:val="Header"/>
              <w:tabs>
                <w:tab w:val="left" w:pos="360"/>
                <w:tab w:val="left" w:pos="1440"/>
              </w:tabs>
              <w:rPr>
                <w:sz w:val="20"/>
                <w:szCs w:val="18"/>
              </w:rPr>
            </w:pPr>
            <w:r>
              <w:rPr>
                <w:sz w:val="20"/>
                <w:szCs w:val="18"/>
              </w:rPr>
              <w:t>£33,824</w:t>
            </w:r>
          </w:p>
        </w:tc>
      </w:tr>
    </w:tbl>
    <w:p w:rsidR="001202C5" w:rsidRPr="001B6AE8" w:rsidRDefault="001202C5" w:rsidP="006D5099">
      <w:pPr>
        <w:pStyle w:val="Header"/>
        <w:tabs>
          <w:tab w:val="left" w:pos="1440"/>
        </w:tabs>
        <w:rPr>
          <w:b/>
          <w:sz w:val="16"/>
          <w:szCs w:val="18"/>
        </w:rPr>
      </w:pPr>
    </w:p>
    <w:tbl>
      <w:tblPr>
        <w:tblW w:w="0" w:type="auto"/>
        <w:tblInd w:w="-34" w:type="dxa"/>
        <w:tblLook w:val="01E0" w:firstRow="1" w:lastRow="1" w:firstColumn="1" w:lastColumn="1" w:noHBand="0" w:noVBand="0"/>
      </w:tblPr>
      <w:tblGrid>
        <w:gridCol w:w="1702"/>
        <w:gridCol w:w="2268"/>
      </w:tblGrid>
      <w:tr w:rsidR="001202C5" w:rsidRPr="00DF1FAA" w:rsidTr="001202C5">
        <w:tc>
          <w:tcPr>
            <w:tcW w:w="3970" w:type="dxa"/>
            <w:gridSpan w:val="2"/>
          </w:tcPr>
          <w:p w:rsidR="001202C5" w:rsidRPr="001B6AE8" w:rsidRDefault="001202C5" w:rsidP="006D5099">
            <w:pPr>
              <w:pStyle w:val="Header"/>
              <w:tabs>
                <w:tab w:val="left" w:pos="1440"/>
              </w:tabs>
              <w:rPr>
                <w:b/>
                <w:sz w:val="20"/>
                <w:szCs w:val="18"/>
              </w:rPr>
            </w:pPr>
            <w:r w:rsidRPr="00DF1FAA">
              <w:rPr>
                <w:b/>
                <w:sz w:val="20"/>
                <w:szCs w:val="18"/>
              </w:rPr>
              <w:t xml:space="preserve">Pay Range for Upper Pay Range </w:t>
            </w:r>
          </w:p>
        </w:tc>
      </w:tr>
      <w:tr w:rsidR="001202C5" w:rsidRPr="00DF1FAA" w:rsidTr="001202C5">
        <w:tc>
          <w:tcPr>
            <w:tcW w:w="1702" w:type="dxa"/>
            <w:tcBorders>
              <w:bottom w:val="single" w:sz="4" w:space="0" w:color="auto"/>
            </w:tcBorders>
          </w:tcPr>
          <w:p w:rsidR="001202C5" w:rsidRPr="00DF1FAA" w:rsidRDefault="001202C5" w:rsidP="006D5099">
            <w:pPr>
              <w:pStyle w:val="Header"/>
              <w:tabs>
                <w:tab w:val="left" w:pos="1440"/>
              </w:tabs>
              <w:rPr>
                <w:sz w:val="20"/>
                <w:szCs w:val="18"/>
              </w:rPr>
            </w:pPr>
            <w:r w:rsidRPr="00DF1FAA">
              <w:rPr>
                <w:b/>
                <w:sz w:val="20"/>
                <w:szCs w:val="18"/>
              </w:rPr>
              <w:t>Teachers</w:t>
            </w:r>
          </w:p>
        </w:tc>
        <w:tc>
          <w:tcPr>
            <w:tcW w:w="2268" w:type="dxa"/>
            <w:tcBorders>
              <w:bottom w:val="single" w:sz="4" w:space="0" w:color="auto"/>
            </w:tcBorders>
          </w:tcPr>
          <w:p w:rsidR="001202C5" w:rsidRPr="00DF1FAA" w:rsidRDefault="001202C5" w:rsidP="006D5099">
            <w:pPr>
              <w:pStyle w:val="Header"/>
              <w:tabs>
                <w:tab w:val="left" w:pos="1440"/>
              </w:tabs>
              <w:rPr>
                <w:sz w:val="20"/>
                <w:szCs w:val="18"/>
              </w:rPr>
            </w:pPr>
            <w:r>
              <w:rPr>
                <w:sz w:val="20"/>
                <w:szCs w:val="18"/>
              </w:rPr>
              <w:t>F</w:t>
            </w:r>
            <w:r w:rsidRPr="00DF1FAA">
              <w:rPr>
                <w:sz w:val="20"/>
                <w:szCs w:val="18"/>
              </w:rPr>
              <w:t>rom September 201</w:t>
            </w:r>
            <w:r w:rsidR="00A91EFA">
              <w:rPr>
                <w:sz w:val="20"/>
                <w:szCs w:val="18"/>
              </w:rPr>
              <w:t>7</w:t>
            </w:r>
          </w:p>
        </w:tc>
      </w:tr>
      <w:tr w:rsidR="001202C5" w:rsidRPr="00DF1FAA" w:rsidTr="001202C5">
        <w:tc>
          <w:tcPr>
            <w:tcW w:w="1702" w:type="dxa"/>
            <w:tcBorders>
              <w:top w:val="single" w:sz="4" w:space="0" w:color="auto"/>
            </w:tcBorders>
          </w:tcPr>
          <w:p w:rsidR="001202C5" w:rsidRPr="00DF1FAA" w:rsidRDefault="001202C5" w:rsidP="006D5099">
            <w:pPr>
              <w:pStyle w:val="Header"/>
              <w:tabs>
                <w:tab w:val="left" w:pos="1440"/>
              </w:tabs>
              <w:rPr>
                <w:sz w:val="20"/>
                <w:szCs w:val="18"/>
              </w:rPr>
            </w:pPr>
          </w:p>
        </w:tc>
        <w:tc>
          <w:tcPr>
            <w:tcW w:w="2268" w:type="dxa"/>
            <w:tcBorders>
              <w:top w:val="single" w:sz="4" w:space="0" w:color="auto"/>
            </w:tcBorders>
          </w:tcPr>
          <w:p w:rsidR="001202C5" w:rsidRPr="00DF1FAA" w:rsidRDefault="001202C5" w:rsidP="006D5099">
            <w:pPr>
              <w:pStyle w:val="Header"/>
              <w:tabs>
                <w:tab w:val="left" w:pos="1440"/>
              </w:tabs>
              <w:rPr>
                <w:sz w:val="20"/>
                <w:szCs w:val="18"/>
              </w:rPr>
            </w:pPr>
          </w:p>
        </w:tc>
      </w:tr>
      <w:tr w:rsidR="008F4B22" w:rsidRPr="00DF1FAA" w:rsidTr="001202C5">
        <w:tc>
          <w:tcPr>
            <w:tcW w:w="1702" w:type="dxa"/>
          </w:tcPr>
          <w:p w:rsidR="008F4B22" w:rsidRPr="00DF1FAA" w:rsidRDefault="008F4B22" w:rsidP="006D5099">
            <w:pPr>
              <w:pStyle w:val="Header"/>
              <w:tabs>
                <w:tab w:val="left" w:pos="1440"/>
              </w:tabs>
              <w:rPr>
                <w:sz w:val="20"/>
                <w:szCs w:val="18"/>
              </w:rPr>
            </w:pPr>
            <w:r w:rsidRPr="00DF1FAA">
              <w:rPr>
                <w:sz w:val="20"/>
                <w:szCs w:val="18"/>
              </w:rPr>
              <w:t>U1 (</w:t>
            </w:r>
            <w:r w:rsidRPr="00DF1FAA">
              <w:rPr>
                <w:i/>
                <w:sz w:val="20"/>
                <w:szCs w:val="18"/>
              </w:rPr>
              <w:t>minimum</w:t>
            </w:r>
            <w:r w:rsidRPr="00DF1FAA">
              <w:rPr>
                <w:sz w:val="20"/>
                <w:szCs w:val="18"/>
              </w:rPr>
              <w:t>)</w:t>
            </w:r>
          </w:p>
        </w:tc>
        <w:tc>
          <w:tcPr>
            <w:tcW w:w="2268" w:type="dxa"/>
          </w:tcPr>
          <w:p w:rsidR="008F4B22" w:rsidRPr="008F4B22" w:rsidRDefault="00A91EFA" w:rsidP="006D5099">
            <w:pPr>
              <w:pStyle w:val="Header"/>
              <w:tabs>
                <w:tab w:val="left" w:pos="1440"/>
              </w:tabs>
              <w:rPr>
                <w:sz w:val="20"/>
                <w:szCs w:val="18"/>
              </w:rPr>
            </w:pPr>
            <w:r>
              <w:rPr>
                <w:sz w:val="20"/>
                <w:szCs w:val="18"/>
              </w:rPr>
              <w:t>£35,927</w:t>
            </w:r>
          </w:p>
        </w:tc>
      </w:tr>
      <w:tr w:rsidR="008F4B22" w:rsidRPr="00DF1FAA" w:rsidTr="001202C5">
        <w:tc>
          <w:tcPr>
            <w:tcW w:w="1702" w:type="dxa"/>
          </w:tcPr>
          <w:p w:rsidR="008F4B22" w:rsidRPr="00DF1FAA" w:rsidRDefault="008F4B22" w:rsidP="006D5099">
            <w:pPr>
              <w:pStyle w:val="Header"/>
              <w:tabs>
                <w:tab w:val="left" w:pos="1440"/>
              </w:tabs>
              <w:rPr>
                <w:sz w:val="20"/>
                <w:szCs w:val="18"/>
              </w:rPr>
            </w:pPr>
            <w:r w:rsidRPr="00DF1FAA">
              <w:rPr>
                <w:sz w:val="20"/>
                <w:szCs w:val="18"/>
              </w:rPr>
              <w:t>U2</w:t>
            </w:r>
          </w:p>
        </w:tc>
        <w:tc>
          <w:tcPr>
            <w:tcW w:w="2268" w:type="dxa"/>
          </w:tcPr>
          <w:p w:rsidR="008F4B22" w:rsidRPr="008F4B22" w:rsidRDefault="00A91EFA" w:rsidP="006D5099">
            <w:pPr>
              <w:pStyle w:val="Header"/>
              <w:tabs>
                <w:tab w:val="left" w:pos="1440"/>
              </w:tabs>
              <w:rPr>
                <w:sz w:val="20"/>
                <w:szCs w:val="18"/>
              </w:rPr>
            </w:pPr>
            <w:r>
              <w:rPr>
                <w:sz w:val="20"/>
                <w:szCs w:val="18"/>
              </w:rPr>
              <w:t>£37,258</w:t>
            </w:r>
          </w:p>
        </w:tc>
      </w:tr>
      <w:tr w:rsidR="008F4B22" w:rsidRPr="00DF1FAA" w:rsidTr="001202C5">
        <w:tc>
          <w:tcPr>
            <w:tcW w:w="1702" w:type="dxa"/>
          </w:tcPr>
          <w:p w:rsidR="008F4B22" w:rsidRPr="00DF1FAA" w:rsidRDefault="008F4B22" w:rsidP="006D5099">
            <w:pPr>
              <w:pStyle w:val="Header"/>
              <w:tabs>
                <w:tab w:val="left" w:pos="1440"/>
              </w:tabs>
              <w:rPr>
                <w:sz w:val="20"/>
                <w:szCs w:val="18"/>
              </w:rPr>
            </w:pPr>
            <w:r w:rsidRPr="00DF1FAA">
              <w:rPr>
                <w:sz w:val="20"/>
                <w:szCs w:val="18"/>
              </w:rPr>
              <w:t>U3 (</w:t>
            </w:r>
            <w:r w:rsidRPr="00DF1FAA">
              <w:rPr>
                <w:i/>
                <w:sz w:val="20"/>
                <w:szCs w:val="18"/>
              </w:rPr>
              <w:t>maximum</w:t>
            </w:r>
            <w:r w:rsidRPr="00DF1FAA">
              <w:rPr>
                <w:sz w:val="20"/>
                <w:szCs w:val="18"/>
              </w:rPr>
              <w:t>)</w:t>
            </w:r>
          </w:p>
        </w:tc>
        <w:tc>
          <w:tcPr>
            <w:tcW w:w="2268" w:type="dxa"/>
          </w:tcPr>
          <w:p w:rsidR="008F4B22" w:rsidRPr="008F4B22" w:rsidRDefault="00A91EFA" w:rsidP="006D5099">
            <w:pPr>
              <w:pStyle w:val="Header"/>
              <w:tabs>
                <w:tab w:val="left" w:pos="1440"/>
              </w:tabs>
              <w:rPr>
                <w:sz w:val="20"/>
                <w:szCs w:val="18"/>
              </w:rPr>
            </w:pPr>
            <w:r>
              <w:rPr>
                <w:sz w:val="20"/>
                <w:szCs w:val="18"/>
              </w:rPr>
              <w:t>£38,633</w:t>
            </w:r>
          </w:p>
        </w:tc>
      </w:tr>
    </w:tbl>
    <w:tbl>
      <w:tblPr>
        <w:tblpPr w:leftFromText="180" w:rightFromText="180" w:vertAnchor="text" w:horzAnchor="margin" w:tblpY="5237"/>
        <w:tblOverlap w:val="never"/>
        <w:tblW w:w="0" w:type="auto"/>
        <w:tblLook w:val="01E0" w:firstRow="1" w:lastRow="1" w:firstColumn="1" w:lastColumn="1" w:noHBand="0" w:noVBand="0"/>
      </w:tblPr>
      <w:tblGrid>
        <w:gridCol w:w="1560"/>
        <w:gridCol w:w="2268"/>
      </w:tblGrid>
      <w:tr w:rsidR="0022493D" w:rsidRPr="00DF1FAA" w:rsidTr="0022493D">
        <w:tc>
          <w:tcPr>
            <w:tcW w:w="1560" w:type="dxa"/>
            <w:tcBorders>
              <w:bottom w:val="single" w:sz="4" w:space="0" w:color="auto"/>
            </w:tcBorders>
          </w:tcPr>
          <w:p w:rsidR="0022493D" w:rsidRPr="00DF1FAA" w:rsidRDefault="0022493D" w:rsidP="006D5099">
            <w:pPr>
              <w:pStyle w:val="Header"/>
              <w:tabs>
                <w:tab w:val="left" w:pos="1440"/>
              </w:tabs>
              <w:rPr>
                <w:sz w:val="20"/>
                <w:szCs w:val="18"/>
              </w:rPr>
            </w:pPr>
            <w:r>
              <w:rPr>
                <w:b/>
                <w:sz w:val="20"/>
                <w:szCs w:val="18"/>
              </w:rPr>
              <w:t>Allowances</w:t>
            </w:r>
          </w:p>
        </w:tc>
        <w:tc>
          <w:tcPr>
            <w:tcW w:w="2268" w:type="dxa"/>
            <w:tcBorders>
              <w:bottom w:val="single" w:sz="4" w:space="0" w:color="auto"/>
            </w:tcBorders>
          </w:tcPr>
          <w:p w:rsidR="0022493D" w:rsidRDefault="0022493D" w:rsidP="006D5099">
            <w:pPr>
              <w:pStyle w:val="Header"/>
              <w:tabs>
                <w:tab w:val="left" w:pos="1440"/>
              </w:tabs>
              <w:rPr>
                <w:sz w:val="20"/>
                <w:szCs w:val="18"/>
              </w:rPr>
            </w:pPr>
          </w:p>
          <w:p w:rsidR="0022493D" w:rsidRPr="00DF1FAA" w:rsidRDefault="0022493D" w:rsidP="006D5099">
            <w:pPr>
              <w:pStyle w:val="Header"/>
              <w:tabs>
                <w:tab w:val="left" w:pos="1440"/>
              </w:tabs>
              <w:rPr>
                <w:sz w:val="20"/>
                <w:szCs w:val="18"/>
              </w:rPr>
            </w:pPr>
            <w:r w:rsidRPr="00DF1FAA">
              <w:rPr>
                <w:sz w:val="20"/>
                <w:szCs w:val="18"/>
              </w:rPr>
              <w:t>From September 201</w:t>
            </w:r>
            <w:r w:rsidR="00A91EFA">
              <w:rPr>
                <w:sz w:val="20"/>
                <w:szCs w:val="18"/>
              </w:rPr>
              <w:t>7</w:t>
            </w:r>
          </w:p>
        </w:tc>
      </w:tr>
      <w:tr w:rsidR="0022493D" w:rsidRPr="00DF1FAA" w:rsidTr="0022493D">
        <w:tc>
          <w:tcPr>
            <w:tcW w:w="1560" w:type="dxa"/>
            <w:tcBorders>
              <w:top w:val="single" w:sz="4" w:space="0" w:color="auto"/>
            </w:tcBorders>
          </w:tcPr>
          <w:p w:rsidR="0022493D" w:rsidRPr="00DF1FAA" w:rsidRDefault="0022493D" w:rsidP="006D5099">
            <w:pPr>
              <w:pStyle w:val="Header"/>
              <w:tabs>
                <w:tab w:val="left" w:pos="1440"/>
              </w:tabs>
              <w:rPr>
                <w:sz w:val="20"/>
                <w:szCs w:val="18"/>
              </w:rPr>
            </w:pPr>
          </w:p>
        </w:tc>
        <w:tc>
          <w:tcPr>
            <w:tcW w:w="2268" w:type="dxa"/>
            <w:tcBorders>
              <w:top w:val="single" w:sz="4" w:space="0" w:color="auto"/>
            </w:tcBorders>
          </w:tcPr>
          <w:p w:rsidR="0022493D" w:rsidRPr="00DF1FAA" w:rsidRDefault="0022493D" w:rsidP="006D5099">
            <w:pPr>
              <w:pStyle w:val="Header"/>
              <w:tabs>
                <w:tab w:val="left" w:pos="1440"/>
              </w:tabs>
              <w:rPr>
                <w:b/>
                <w:sz w:val="20"/>
                <w:szCs w:val="18"/>
              </w:rPr>
            </w:pPr>
          </w:p>
        </w:tc>
      </w:tr>
      <w:tr w:rsidR="0022493D" w:rsidRPr="00DF1FAA" w:rsidTr="0022493D">
        <w:tc>
          <w:tcPr>
            <w:tcW w:w="1560" w:type="dxa"/>
          </w:tcPr>
          <w:p w:rsidR="0022493D" w:rsidRPr="00DF1FAA" w:rsidRDefault="0022493D" w:rsidP="006D5099">
            <w:pPr>
              <w:pStyle w:val="Header"/>
              <w:tabs>
                <w:tab w:val="left" w:pos="1440"/>
              </w:tabs>
              <w:rPr>
                <w:sz w:val="20"/>
                <w:szCs w:val="18"/>
              </w:rPr>
            </w:pPr>
            <w:r w:rsidRPr="00DF1FAA">
              <w:rPr>
                <w:sz w:val="20"/>
                <w:szCs w:val="18"/>
              </w:rPr>
              <w:t>TLR1</w:t>
            </w:r>
          </w:p>
        </w:tc>
        <w:tc>
          <w:tcPr>
            <w:tcW w:w="2268" w:type="dxa"/>
          </w:tcPr>
          <w:p w:rsidR="0022493D" w:rsidRPr="00536FEC" w:rsidRDefault="000949EB" w:rsidP="006D5099">
            <w:pPr>
              <w:pStyle w:val="Header"/>
              <w:tabs>
                <w:tab w:val="left" w:pos="1440"/>
              </w:tabs>
              <w:rPr>
                <w:sz w:val="20"/>
                <w:szCs w:val="18"/>
              </w:rPr>
            </w:pPr>
            <w:r>
              <w:rPr>
                <w:sz w:val="20"/>
                <w:szCs w:val="18"/>
              </w:rPr>
              <w:t>£7,699</w:t>
            </w:r>
            <w:r w:rsidR="0022493D">
              <w:rPr>
                <w:sz w:val="20"/>
                <w:szCs w:val="18"/>
              </w:rPr>
              <w:t xml:space="preserve"> </w:t>
            </w:r>
            <w:r w:rsidR="0022493D" w:rsidRPr="00536FEC">
              <w:rPr>
                <w:sz w:val="20"/>
                <w:szCs w:val="18"/>
              </w:rPr>
              <w:t>-</w:t>
            </w:r>
            <w:r w:rsidR="0022493D">
              <w:rPr>
                <w:sz w:val="20"/>
                <w:szCs w:val="18"/>
              </w:rPr>
              <w:t xml:space="preserve"> £</w:t>
            </w:r>
            <w:r>
              <w:rPr>
                <w:sz w:val="20"/>
                <w:szCs w:val="18"/>
              </w:rPr>
              <w:t>13,027</w:t>
            </w:r>
          </w:p>
        </w:tc>
      </w:tr>
      <w:tr w:rsidR="0022493D" w:rsidRPr="00DF1FAA" w:rsidTr="0022493D">
        <w:tc>
          <w:tcPr>
            <w:tcW w:w="1560" w:type="dxa"/>
          </w:tcPr>
          <w:p w:rsidR="0022493D" w:rsidRPr="00DF1FAA" w:rsidRDefault="0022493D" w:rsidP="006D5099">
            <w:pPr>
              <w:pStyle w:val="Header"/>
              <w:tabs>
                <w:tab w:val="left" w:pos="1440"/>
              </w:tabs>
              <w:rPr>
                <w:sz w:val="20"/>
                <w:szCs w:val="18"/>
              </w:rPr>
            </w:pPr>
            <w:r w:rsidRPr="00DF1FAA">
              <w:rPr>
                <w:sz w:val="20"/>
                <w:szCs w:val="18"/>
              </w:rPr>
              <w:t>TLR2</w:t>
            </w:r>
          </w:p>
        </w:tc>
        <w:tc>
          <w:tcPr>
            <w:tcW w:w="2268" w:type="dxa"/>
          </w:tcPr>
          <w:p w:rsidR="0022493D" w:rsidRPr="00536FEC" w:rsidRDefault="000949EB" w:rsidP="006D5099">
            <w:pPr>
              <w:pStyle w:val="Header"/>
              <w:tabs>
                <w:tab w:val="left" w:pos="1440"/>
              </w:tabs>
              <w:rPr>
                <w:sz w:val="20"/>
                <w:szCs w:val="18"/>
              </w:rPr>
            </w:pPr>
            <w:r>
              <w:rPr>
                <w:sz w:val="20"/>
                <w:szCs w:val="18"/>
              </w:rPr>
              <w:t>£2,667</w:t>
            </w:r>
            <w:r w:rsidR="00C7732F">
              <w:rPr>
                <w:sz w:val="20"/>
                <w:szCs w:val="18"/>
              </w:rPr>
              <w:t xml:space="preserve"> </w:t>
            </w:r>
            <w:r>
              <w:rPr>
                <w:sz w:val="20"/>
                <w:szCs w:val="18"/>
              </w:rPr>
              <w:t>-</w:t>
            </w:r>
            <w:r w:rsidR="00C7732F">
              <w:rPr>
                <w:sz w:val="20"/>
                <w:szCs w:val="18"/>
              </w:rPr>
              <w:t xml:space="preserve"> </w:t>
            </w:r>
            <w:r w:rsidR="00906665">
              <w:rPr>
                <w:sz w:val="20"/>
                <w:szCs w:val="18"/>
              </w:rPr>
              <w:t>£</w:t>
            </w:r>
            <w:r>
              <w:rPr>
                <w:sz w:val="20"/>
                <w:szCs w:val="18"/>
              </w:rPr>
              <w:t>6,515</w:t>
            </w:r>
          </w:p>
        </w:tc>
      </w:tr>
      <w:tr w:rsidR="0022493D" w:rsidRPr="00DF1FAA" w:rsidTr="0022493D">
        <w:tc>
          <w:tcPr>
            <w:tcW w:w="1560" w:type="dxa"/>
          </w:tcPr>
          <w:p w:rsidR="0022493D" w:rsidRPr="00DF1FAA" w:rsidRDefault="0022493D" w:rsidP="006D5099">
            <w:pPr>
              <w:pStyle w:val="Header"/>
              <w:tabs>
                <w:tab w:val="left" w:pos="1440"/>
              </w:tabs>
              <w:rPr>
                <w:sz w:val="20"/>
                <w:szCs w:val="18"/>
              </w:rPr>
            </w:pPr>
            <w:r w:rsidRPr="00DF1FAA">
              <w:rPr>
                <w:sz w:val="20"/>
                <w:szCs w:val="18"/>
              </w:rPr>
              <w:t>TLR3</w:t>
            </w:r>
          </w:p>
        </w:tc>
        <w:tc>
          <w:tcPr>
            <w:tcW w:w="2268" w:type="dxa"/>
          </w:tcPr>
          <w:p w:rsidR="0022493D" w:rsidRPr="00536FEC" w:rsidRDefault="000949EB" w:rsidP="006D5099">
            <w:pPr>
              <w:pStyle w:val="Header"/>
              <w:tabs>
                <w:tab w:val="left" w:pos="1440"/>
              </w:tabs>
              <w:rPr>
                <w:sz w:val="20"/>
                <w:szCs w:val="18"/>
              </w:rPr>
            </w:pPr>
            <w:r>
              <w:rPr>
                <w:sz w:val="20"/>
                <w:szCs w:val="18"/>
              </w:rPr>
              <w:t>£529</w:t>
            </w:r>
            <w:r w:rsidR="0022493D">
              <w:rPr>
                <w:sz w:val="20"/>
                <w:szCs w:val="18"/>
              </w:rPr>
              <w:t xml:space="preserve"> </w:t>
            </w:r>
            <w:r w:rsidR="0022493D" w:rsidRPr="00536FEC">
              <w:rPr>
                <w:sz w:val="20"/>
                <w:szCs w:val="18"/>
              </w:rPr>
              <w:t>-</w:t>
            </w:r>
            <w:r w:rsidR="0022493D">
              <w:rPr>
                <w:sz w:val="20"/>
                <w:szCs w:val="18"/>
              </w:rPr>
              <w:t xml:space="preserve"> £</w:t>
            </w:r>
            <w:r>
              <w:rPr>
                <w:sz w:val="20"/>
                <w:szCs w:val="18"/>
              </w:rPr>
              <w:t>2,630</w:t>
            </w:r>
          </w:p>
        </w:tc>
      </w:tr>
      <w:tr w:rsidR="0022493D" w:rsidRPr="00DF1FAA" w:rsidTr="0022493D">
        <w:tc>
          <w:tcPr>
            <w:tcW w:w="1560" w:type="dxa"/>
          </w:tcPr>
          <w:p w:rsidR="0022493D" w:rsidRPr="00DF1FAA" w:rsidRDefault="0022493D" w:rsidP="006D5099">
            <w:pPr>
              <w:pStyle w:val="Header"/>
              <w:tabs>
                <w:tab w:val="left" w:pos="1440"/>
              </w:tabs>
              <w:rPr>
                <w:sz w:val="20"/>
                <w:szCs w:val="18"/>
              </w:rPr>
            </w:pPr>
            <w:r w:rsidRPr="00DF1FAA">
              <w:rPr>
                <w:sz w:val="20"/>
                <w:szCs w:val="18"/>
              </w:rPr>
              <w:t>SEN</w:t>
            </w:r>
          </w:p>
        </w:tc>
        <w:tc>
          <w:tcPr>
            <w:tcW w:w="2268" w:type="dxa"/>
          </w:tcPr>
          <w:p w:rsidR="0022493D" w:rsidRPr="00536FEC" w:rsidRDefault="000949EB" w:rsidP="006D5099">
            <w:pPr>
              <w:pStyle w:val="Header"/>
              <w:tabs>
                <w:tab w:val="left" w:pos="1440"/>
              </w:tabs>
              <w:rPr>
                <w:sz w:val="20"/>
                <w:szCs w:val="18"/>
              </w:rPr>
            </w:pPr>
            <w:r>
              <w:rPr>
                <w:sz w:val="20"/>
                <w:szCs w:val="18"/>
              </w:rPr>
              <w:t>£2,106</w:t>
            </w:r>
            <w:r w:rsidR="0022493D">
              <w:rPr>
                <w:sz w:val="20"/>
                <w:szCs w:val="18"/>
              </w:rPr>
              <w:t xml:space="preserve"> </w:t>
            </w:r>
            <w:r w:rsidR="0022493D" w:rsidRPr="00536FEC">
              <w:rPr>
                <w:sz w:val="20"/>
                <w:szCs w:val="18"/>
              </w:rPr>
              <w:t>-</w:t>
            </w:r>
            <w:r w:rsidR="0022493D">
              <w:rPr>
                <w:sz w:val="20"/>
                <w:szCs w:val="18"/>
              </w:rPr>
              <w:t xml:space="preserve"> £</w:t>
            </w:r>
            <w:r>
              <w:rPr>
                <w:sz w:val="20"/>
                <w:szCs w:val="18"/>
              </w:rPr>
              <w:t>4,158</w:t>
            </w:r>
          </w:p>
        </w:tc>
      </w:tr>
    </w:tbl>
    <w:p w:rsidR="001202C5" w:rsidRPr="00245119" w:rsidRDefault="001202C5" w:rsidP="006D5099">
      <w:pPr>
        <w:widowControl w:val="0"/>
        <w:autoSpaceDE w:val="0"/>
        <w:autoSpaceDN w:val="0"/>
        <w:adjustRightInd w:val="0"/>
        <w:rPr>
          <w:b/>
          <w:sz w:val="16"/>
          <w:szCs w:val="18"/>
        </w:rPr>
      </w:pPr>
    </w:p>
    <w:tbl>
      <w:tblPr>
        <w:tblpPr w:leftFromText="180" w:rightFromText="180" w:vertAnchor="text" w:tblpY="1"/>
        <w:tblOverlap w:val="never"/>
        <w:tblW w:w="0" w:type="auto"/>
        <w:tblLook w:val="04A0" w:firstRow="1" w:lastRow="0" w:firstColumn="1" w:lastColumn="0" w:noHBand="0" w:noVBand="1"/>
      </w:tblPr>
      <w:tblGrid>
        <w:gridCol w:w="2296"/>
        <w:gridCol w:w="2268"/>
      </w:tblGrid>
      <w:tr w:rsidR="001202C5" w:rsidRPr="00DF1FAA" w:rsidTr="001202C5">
        <w:trPr>
          <w:trHeight w:val="253"/>
        </w:trPr>
        <w:tc>
          <w:tcPr>
            <w:tcW w:w="3936" w:type="dxa"/>
            <w:gridSpan w:val="2"/>
          </w:tcPr>
          <w:p w:rsidR="001202C5" w:rsidRPr="000D0B78" w:rsidRDefault="001202C5" w:rsidP="006D5099">
            <w:pPr>
              <w:widowControl w:val="0"/>
              <w:autoSpaceDE w:val="0"/>
              <w:autoSpaceDN w:val="0"/>
              <w:adjustRightInd w:val="0"/>
              <w:rPr>
                <w:rStyle w:val="Strong"/>
                <w:bCs w:val="0"/>
                <w:sz w:val="20"/>
                <w:szCs w:val="18"/>
              </w:rPr>
            </w:pPr>
            <w:r w:rsidRPr="000D0B78">
              <w:rPr>
                <w:b/>
                <w:sz w:val="20"/>
                <w:szCs w:val="18"/>
              </w:rPr>
              <w:t>Pay Range for Leading Practitioners</w:t>
            </w:r>
          </w:p>
        </w:tc>
      </w:tr>
      <w:tr w:rsidR="001202C5" w:rsidRPr="00DF1FAA" w:rsidTr="001202C5">
        <w:trPr>
          <w:trHeight w:val="253"/>
        </w:trPr>
        <w:tc>
          <w:tcPr>
            <w:tcW w:w="1668" w:type="dxa"/>
            <w:tcBorders>
              <w:bottom w:val="single" w:sz="4" w:space="0" w:color="auto"/>
            </w:tcBorders>
          </w:tcPr>
          <w:p w:rsidR="001202C5" w:rsidRPr="000D0B78" w:rsidRDefault="001202C5" w:rsidP="006D5099">
            <w:pPr>
              <w:widowControl w:val="0"/>
              <w:autoSpaceDE w:val="0"/>
              <w:autoSpaceDN w:val="0"/>
              <w:adjustRightInd w:val="0"/>
              <w:ind w:left="1440" w:hanging="1440"/>
              <w:rPr>
                <w:sz w:val="20"/>
                <w:szCs w:val="18"/>
              </w:rPr>
            </w:pPr>
          </w:p>
        </w:tc>
        <w:tc>
          <w:tcPr>
            <w:tcW w:w="2268" w:type="dxa"/>
            <w:tcBorders>
              <w:bottom w:val="single" w:sz="4" w:space="0" w:color="auto"/>
            </w:tcBorders>
          </w:tcPr>
          <w:p w:rsidR="001202C5" w:rsidRPr="00B23B31" w:rsidRDefault="001202C5" w:rsidP="006D5099">
            <w:pPr>
              <w:rPr>
                <w:rStyle w:val="Strong"/>
                <w:b w:val="0"/>
                <w:sz w:val="20"/>
              </w:rPr>
            </w:pPr>
            <w:r w:rsidRPr="00B23B31">
              <w:rPr>
                <w:rStyle w:val="Strong"/>
                <w:b w:val="0"/>
                <w:sz w:val="20"/>
              </w:rPr>
              <w:t>From September 201</w:t>
            </w:r>
            <w:r w:rsidR="00A91EFA">
              <w:rPr>
                <w:rStyle w:val="Strong"/>
                <w:b w:val="0"/>
                <w:sz w:val="20"/>
              </w:rPr>
              <w:t>7</w:t>
            </w:r>
          </w:p>
        </w:tc>
      </w:tr>
      <w:tr w:rsidR="001202C5" w:rsidRPr="00DF1FAA" w:rsidTr="001202C5">
        <w:trPr>
          <w:trHeight w:val="253"/>
        </w:trPr>
        <w:tc>
          <w:tcPr>
            <w:tcW w:w="1668" w:type="dxa"/>
            <w:tcBorders>
              <w:top w:val="single" w:sz="4" w:space="0" w:color="auto"/>
            </w:tcBorders>
          </w:tcPr>
          <w:p w:rsidR="001202C5" w:rsidRPr="00DF1FAA" w:rsidRDefault="001202C5" w:rsidP="006D5099">
            <w:pPr>
              <w:widowControl w:val="0"/>
              <w:autoSpaceDE w:val="0"/>
              <w:autoSpaceDN w:val="0"/>
              <w:adjustRightInd w:val="0"/>
              <w:ind w:left="1440" w:hanging="1080"/>
              <w:rPr>
                <w:i/>
                <w:sz w:val="20"/>
                <w:szCs w:val="18"/>
              </w:rPr>
            </w:pPr>
          </w:p>
        </w:tc>
        <w:tc>
          <w:tcPr>
            <w:tcW w:w="2268" w:type="dxa"/>
            <w:tcBorders>
              <w:top w:val="single" w:sz="4" w:space="0" w:color="auto"/>
            </w:tcBorders>
          </w:tcPr>
          <w:p w:rsidR="001202C5" w:rsidRPr="00B23B31" w:rsidRDefault="001202C5" w:rsidP="006D5099">
            <w:pPr>
              <w:rPr>
                <w:rStyle w:val="Strong"/>
                <w:b w:val="0"/>
                <w:sz w:val="20"/>
              </w:rPr>
            </w:pP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1 (</w:t>
            </w:r>
            <w:r w:rsidRPr="00DF1FAA">
              <w:rPr>
                <w:i/>
                <w:sz w:val="20"/>
                <w:szCs w:val="18"/>
              </w:rPr>
              <w:t>Minimum</w:t>
            </w:r>
            <w:r w:rsidRPr="00DF1FAA">
              <w:rPr>
                <w:sz w:val="20"/>
                <w:szCs w:val="18"/>
              </w:rPr>
              <w:t>)</w:t>
            </w:r>
          </w:p>
        </w:tc>
        <w:tc>
          <w:tcPr>
            <w:tcW w:w="2268" w:type="dxa"/>
          </w:tcPr>
          <w:p w:rsidR="008F4B22" w:rsidRPr="008F4B22" w:rsidRDefault="000949EB" w:rsidP="006D5099">
            <w:pPr>
              <w:widowControl w:val="0"/>
              <w:autoSpaceDE w:val="0"/>
              <w:autoSpaceDN w:val="0"/>
              <w:adjustRightInd w:val="0"/>
              <w:ind w:left="-108"/>
              <w:rPr>
                <w:sz w:val="20"/>
                <w:szCs w:val="18"/>
              </w:rPr>
            </w:pPr>
            <w:r>
              <w:rPr>
                <w:sz w:val="20"/>
                <w:szCs w:val="18"/>
              </w:rPr>
              <w:t>£39,374</w:t>
            </w:r>
          </w:p>
        </w:tc>
      </w:tr>
      <w:tr w:rsidR="008F4B22" w:rsidRPr="00DF1FAA" w:rsidTr="001202C5">
        <w:tc>
          <w:tcPr>
            <w:tcW w:w="1668" w:type="dxa"/>
          </w:tcPr>
          <w:p w:rsidR="008F4B22" w:rsidRPr="00DF1FAA" w:rsidRDefault="00A603A7" w:rsidP="006D5099">
            <w:pPr>
              <w:widowControl w:val="0"/>
              <w:autoSpaceDE w:val="0"/>
              <w:autoSpaceDN w:val="0"/>
              <w:adjustRightInd w:val="0"/>
              <w:ind w:left="1080" w:hanging="1080"/>
              <w:rPr>
                <w:sz w:val="20"/>
                <w:szCs w:val="18"/>
              </w:rPr>
            </w:pPr>
            <w:r>
              <w:rPr>
                <w:sz w:val="20"/>
                <w:szCs w:val="18"/>
              </w:rPr>
              <w:t>2</w:t>
            </w:r>
          </w:p>
        </w:tc>
        <w:tc>
          <w:tcPr>
            <w:tcW w:w="2268" w:type="dxa"/>
          </w:tcPr>
          <w:p w:rsidR="008F4B22" w:rsidRPr="00536FEC" w:rsidRDefault="000949EB" w:rsidP="006D5099">
            <w:pPr>
              <w:ind w:left="-108"/>
              <w:rPr>
                <w:sz w:val="20"/>
                <w:szCs w:val="18"/>
              </w:rPr>
            </w:pPr>
            <w:r>
              <w:rPr>
                <w:sz w:val="20"/>
                <w:szCs w:val="18"/>
              </w:rPr>
              <w:t>£40,360</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3</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£41</w:t>
            </w:r>
            <w:r w:rsidR="00E8354A">
              <w:rPr>
                <w:sz w:val="20"/>
                <w:szCs w:val="18"/>
              </w:rPr>
              <w:t>,</w:t>
            </w:r>
            <w:r>
              <w:rPr>
                <w:sz w:val="20"/>
                <w:szCs w:val="18"/>
              </w:rPr>
              <w:t>368</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4</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£42,398</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5</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£43,454</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6</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£44,544</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7</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£45,743</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8</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£46,799</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9</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£47,967</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10</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£49,199</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11</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£50,476</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12</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£51,639</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13</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£52,930</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14</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£54,250</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15</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£55,600</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16</w:t>
            </w:r>
          </w:p>
        </w:tc>
        <w:tc>
          <w:tcPr>
            <w:tcW w:w="2268" w:type="dxa"/>
          </w:tcPr>
          <w:p w:rsidR="008F4B22" w:rsidRPr="00536FEC" w:rsidRDefault="008F4B22" w:rsidP="006D5099">
            <w:pPr>
              <w:widowControl w:val="0"/>
              <w:autoSpaceDE w:val="0"/>
              <w:autoSpaceDN w:val="0"/>
              <w:adjustRightInd w:val="0"/>
              <w:ind w:left="-108"/>
              <w:rPr>
                <w:sz w:val="20"/>
                <w:szCs w:val="18"/>
              </w:rPr>
            </w:pPr>
            <w:r w:rsidRPr="00536FEC">
              <w:rPr>
                <w:sz w:val="20"/>
                <w:szCs w:val="18"/>
              </w:rPr>
              <w:t>£5</w:t>
            </w:r>
            <w:r w:rsidR="000949EB">
              <w:rPr>
                <w:sz w:val="20"/>
                <w:szCs w:val="18"/>
              </w:rPr>
              <w:t>7,077</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17</w:t>
            </w:r>
          </w:p>
        </w:tc>
        <w:tc>
          <w:tcPr>
            <w:tcW w:w="2268" w:type="dxa"/>
          </w:tcPr>
          <w:p w:rsidR="008F4B22" w:rsidRPr="00536FEC" w:rsidRDefault="000949EB" w:rsidP="006D5099">
            <w:pPr>
              <w:widowControl w:val="0"/>
              <w:autoSpaceDE w:val="0"/>
              <w:autoSpaceDN w:val="0"/>
              <w:adjustRightInd w:val="0"/>
              <w:ind w:left="-108"/>
              <w:rPr>
                <w:sz w:val="20"/>
                <w:szCs w:val="18"/>
              </w:rPr>
            </w:pPr>
            <w:r>
              <w:rPr>
                <w:sz w:val="20"/>
                <w:szCs w:val="18"/>
              </w:rPr>
              <w:t>£58,389</w:t>
            </w:r>
          </w:p>
        </w:tc>
      </w:tr>
      <w:tr w:rsidR="008F4B22" w:rsidRPr="00DF1FAA" w:rsidTr="001202C5">
        <w:tc>
          <w:tcPr>
            <w:tcW w:w="1668" w:type="dxa"/>
          </w:tcPr>
          <w:p w:rsidR="008F4B22" w:rsidRPr="00DF1FAA" w:rsidRDefault="008F4B22" w:rsidP="006D5099">
            <w:pPr>
              <w:widowControl w:val="0"/>
              <w:autoSpaceDE w:val="0"/>
              <w:autoSpaceDN w:val="0"/>
              <w:adjustRightInd w:val="0"/>
              <w:ind w:left="1080" w:hanging="1080"/>
              <w:rPr>
                <w:sz w:val="20"/>
                <w:szCs w:val="18"/>
              </w:rPr>
            </w:pPr>
            <w:r w:rsidRPr="00DF1FAA">
              <w:rPr>
                <w:sz w:val="20"/>
                <w:szCs w:val="18"/>
              </w:rPr>
              <w:t>18 (</w:t>
            </w:r>
            <w:r w:rsidRPr="00536FEC">
              <w:rPr>
                <w:sz w:val="20"/>
                <w:szCs w:val="18"/>
              </w:rPr>
              <w:t>Maximum</w:t>
            </w:r>
            <w:r w:rsidRPr="00DF1FAA">
              <w:rPr>
                <w:sz w:val="20"/>
                <w:szCs w:val="18"/>
              </w:rPr>
              <w:t>)</w:t>
            </w:r>
          </w:p>
        </w:tc>
        <w:tc>
          <w:tcPr>
            <w:tcW w:w="2268" w:type="dxa"/>
          </w:tcPr>
          <w:p w:rsidR="008F4B22" w:rsidRPr="008F4B22" w:rsidRDefault="000949EB" w:rsidP="006D5099">
            <w:pPr>
              <w:widowControl w:val="0"/>
              <w:autoSpaceDE w:val="0"/>
              <w:autoSpaceDN w:val="0"/>
              <w:adjustRightInd w:val="0"/>
              <w:ind w:left="-108"/>
              <w:rPr>
                <w:sz w:val="20"/>
                <w:szCs w:val="18"/>
              </w:rPr>
            </w:pPr>
            <w:r>
              <w:rPr>
                <w:sz w:val="20"/>
                <w:szCs w:val="18"/>
              </w:rPr>
              <w:t>£59,857</w:t>
            </w:r>
          </w:p>
        </w:tc>
      </w:tr>
    </w:tbl>
    <w:tbl>
      <w:tblPr>
        <w:tblpPr w:leftFromText="180" w:rightFromText="180" w:vertAnchor="text" w:horzAnchor="page" w:tblpX="7108" w:tblpY="4684"/>
        <w:tblOverlap w:val="never"/>
        <w:tblW w:w="2152" w:type="pct"/>
        <w:tblLayout w:type="fixed"/>
        <w:tblLook w:val="0000" w:firstRow="0" w:lastRow="0" w:firstColumn="0" w:lastColumn="0" w:noHBand="0" w:noVBand="0"/>
      </w:tblPr>
      <w:tblGrid>
        <w:gridCol w:w="1455"/>
        <w:gridCol w:w="2450"/>
      </w:tblGrid>
      <w:tr w:rsidR="001202C5" w:rsidRPr="000D0B78" w:rsidTr="00536FEC">
        <w:trPr>
          <w:trHeight w:val="290"/>
        </w:trPr>
        <w:tc>
          <w:tcPr>
            <w:tcW w:w="5000" w:type="pct"/>
            <w:gridSpan w:val="2"/>
          </w:tcPr>
          <w:p w:rsidR="001202C5" w:rsidRPr="000D0B78" w:rsidRDefault="001202C5" w:rsidP="006D5099">
            <w:pPr>
              <w:pStyle w:val="Pa54"/>
              <w:rPr>
                <w:rFonts w:ascii="Arial" w:hAnsi="Arial" w:cs="Arial"/>
                <w:color w:val="808080" w:themeColor="background1" w:themeShade="80"/>
                <w:sz w:val="20"/>
                <w:szCs w:val="18"/>
              </w:rPr>
            </w:pPr>
            <w:r w:rsidRPr="001B6AE8">
              <w:rPr>
                <w:rFonts w:ascii="Arial" w:hAnsi="Arial" w:cs="Arial"/>
                <w:b/>
                <w:color w:val="808080" w:themeColor="background1" w:themeShade="80"/>
                <w:sz w:val="20"/>
                <w:szCs w:val="18"/>
              </w:rPr>
              <w:t>Pay Ranges for</w:t>
            </w:r>
            <w:r w:rsidRPr="001B6AE8">
              <w:rPr>
                <w:rFonts w:ascii="Arial" w:hAnsi="Arial" w:cs="Arial"/>
                <w:b/>
                <w:bCs/>
                <w:color w:val="808080" w:themeColor="background1" w:themeShade="80"/>
                <w:sz w:val="20"/>
                <w:szCs w:val="18"/>
              </w:rPr>
              <w:t xml:space="preserve"> Head Teachers</w:t>
            </w:r>
          </w:p>
        </w:tc>
      </w:tr>
      <w:tr w:rsidR="001202C5" w:rsidRPr="000D0B78" w:rsidTr="0022493D">
        <w:trPr>
          <w:trHeight w:val="290"/>
        </w:trPr>
        <w:tc>
          <w:tcPr>
            <w:tcW w:w="1863" w:type="pct"/>
            <w:tcBorders>
              <w:bottom w:val="single" w:sz="4" w:space="0" w:color="auto"/>
            </w:tcBorders>
          </w:tcPr>
          <w:p w:rsidR="001202C5" w:rsidRPr="000D0B78" w:rsidRDefault="001202C5" w:rsidP="006D5099">
            <w:pPr>
              <w:pStyle w:val="Pa54"/>
              <w:rPr>
                <w:rFonts w:ascii="Arial" w:hAnsi="Arial" w:cs="Arial"/>
                <w:color w:val="808080" w:themeColor="background1" w:themeShade="80"/>
                <w:sz w:val="20"/>
                <w:szCs w:val="18"/>
              </w:rPr>
            </w:pPr>
          </w:p>
        </w:tc>
        <w:tc>
          <w:tcPr>
            <w:tcW w:w="3137" w:type="pct"/>
            <w:tcBorders>
              <w:bottom w:val="single" w:sz="4" w:space="0" w:color="auto"/>
            </w:tcBorders>
          </w:tcPr>
          <w:p w:rsidR="001202C5" w:rsidRPr="000D0B78" w:rsidRDefault="001202C5" w:rsidP="006D5099">
            <w:pPr>
              <w:pStyle w:val="Pa54"/>
              <w:rPr>
                <w:rFonts w:ascii="Arial" w:hAnsi="Arial" w:cs="Arial"/>
                <w:color w:val="808080" w:themeColor="background1" w:themeShade="80"/>
                <w:sz w:val="20"/>
                <w:szCs w:val="18"/>
              </w:rPr>
            </w:pPr>
            <w:r w:rsidRPr="000D0B78">
              <w:rPr>
                <w:rFonts w:ascii="Arial" w:hAnsi="Arial" w:cs="Arial"/>
                <w:color w:val="808080" w:themeColor="background1" w:themeShade="80"/>
                <w:sz w:val="20"/>
                <w:szCs w:val="18"/>
              </w:rPr>
              <w:t>From September 201</w:t>
            </w:r>
            <w:r w:rsidR="00A91EFA">
              <w:rPr>
                <w:rFonts w:ascii="Arial" w:hAnsi="Arial" w:cs="Arial"/>
                <w:color w:val="808080" w:themeColor="background1" w:themeShade="80"/>
                <w:sz w:val="20"/>
                <w:szCs w:val="18"/>
              </w:rPr>
              <w:t>7</w:t>
            </w:r>
          </w:p>
        </w:tc>
      </w:tr>
      <w:tr w:rsidR="001202C5" w:rsidRPr="000D0B78" w:rsidTr="0022493D">
        <w:trPr>
          <w:trHeight w:val="251"/>
        </w:trPr>
        <w:tc>
          <w:tcPr>
            <w:tcW w:w="1863" w:type="pct"/>
            <w:tcBorders>
              <w:top w:val="single" w:sz="4" w:space="0" w:color="auto"/>
            </w:tcBorders>
          </w:tcPr>
          <w:p w:rsidR="001202C5" w:rsidRPr="000D0B78" w:rsidRDefault="001202C5" w:rsidP="006D5099">
            <w:pPr>
              <w:pStyle w:val="Pa54"/>
              <w:rPr>
                <w:rFonts w:ascii="Arial" w:hAnsi="Arial" w:cs="Arial"/>
                <w:color w:val="808080" w:themeColor="background1" w:themeShade="80"/>
                <w:sz w:val="20"/>
                <w:szCs w:val="18"/>
              </w:rPr>
            </w:pPr>
          </w:p>
        </w:tc>
        <w:tc>
          <w:tcPr>
            <w:tcW w:w="3137" w:type="pct"/>
            <w:tcBorders>
              <w:top w:val="single" w:sz="4" w:space="0" w:color="auto"/>
            </w:tcBorders>
          </w:tcPr>
          <w:p w:rsidR="001202C5" w:rsidRPr="000D0B78" w:rsidRDefault="001202C5" w:rsidP="006D5099">
            <w:pPr>
              <w:pStyle w:val="Pa54"/>
              <w:rPr>
                <w:rFonts w:ascii="Arial" w:hAnsi="Arial" w:cs="Arial"/>
                <w:color w:val="808080" w:themeColor="background1" w:themeShade="80"/>
                <w:sz w:val="20"/>
                <w:szCs w:val="18"/>
              </w:rPr>
            </w:pPr>
          </w:p>
        </w:tc>
      </w:tr>
      <w:tr w:rsidR="00536FEC" w:rsidRPr="000D0B78" w:rsidTr="0022493D">
        <w:trPr>
          <w:trHeight w:val="219"/>
        </w:trPr>
        <w:tc>
          <w:tcPr>
            <w:tcW w:w="1863" w:type="pct"/>
            <w:vAlign w:val="center"/>
          </w:tcPr>
          <w:p w:rsidR="00536FEC" w:rsidRPr="000D0B78" w:rsidRDefault="00536FEC" w:rsidP="006D5099">
            <w:pPr>
              <w:pStyle w:val="Pa54"/>
              <w:rPr>
                <w:rFonts w:ascii="Arial" w:hAnsi="Arial" w:cs="Arial"/>
                <w:color w:val="808080" w:themeColor="background1" w:themeShade="80"/>
                <w:sz w:val="20"/>
                <w:szCs w:val="18"/>
              </w:rPr>
            </w:pPr>
            <w:r w:rsidRPr="000D0B78">
              <w:rPr>
                <w:rFonts w:ascii="Arial" w:hAnsi="Arial" w:cs="Arial"/>
                <w:bCs/>
                <w:color w:val="808080" w:themeColor="background1" w:themeShade="80"/>
                <w:sz w:val="20"/>
                <w:szCs w:val="18"/>
              </w:rPr>
              <w:t>1</w:t>
            </w:r>
          </w:p>
        </w:tc>
        <w:tc>
          <w:tcPr>
            <w:tcW w:w="3137" w:type="pct"/>
          </w:tcPr>
          <w:p w:rsidR="00536FEC" w:rsidRPr="00536FEC" w:rsidRDefault="00E8354A" w:rsidP="006D5099">
            <w:pPr>
              <w:pStyle w:val="Pa54"/>
              <w:rPr>
                <w:rFonts w:ascii="Arial" w:hAnsi="Arial" w:cs="Arial"/>
                <w:color w:val="7F7F7F" w:themeColor="text1" w:themeTint="80"/>
                <w:sz w:val="20"/>
                <w:szCs w:val="18"/>
              </w:rPr>
            </w:pPr>
            <w:r>
              <w:rPr>
                <w:rFonts w:ascii="Arial" w:hAnsi="Arial" w:cs="Arial"/>
                <w:color w:val="7F7F7F" w:themeColor="text1" w:themeTint="80"/>
                <w:sz w:val="20"/>
                <w:szCs w:val="18"/>
              </w:rPr>
              <w:t>£44,544</w:t>
            </w:r>
            <w:r w:rsidR="00536FEC" w:rsidRPr="00536FEC">
              <w:rPr>
                <w:rFonts w:ascii="Arial" w:hAnsi="Arial" w:cs="Arial"/>
                <w:color w:val="7F7F7F" w:themeColor="text1" w:themeTint="80"/>
                <w:sz w:val="20"/>
                <w:szCs w:val="18"/>
              </w:rPr>
              <w:t xml:space="preserve"> – </w:t>
            </w:r>
            <w:r w:rsidR="00536FEC">
              <w:rPr>
                <w:rFonts w:ascii="Arial" w:hAnsi="Arial" w:cs="Arial"/>
                <w:color w:val="7F7F7F" w:themeColor="text1" w:themeTint="80"/>
                <w:sz w:val="20"/>
                <w:szCs w:val="18"/>
              </w:rPr>
              <w:t>£</w:t>
            </w:r>
            <w:r w:rsidR="00536FEC" w:rsidRPr="00536FEC">
              <w:rPr>
                <w:rFonts w:ascii="Arial" w:hAnsi="Arial" w:cs="Arial"/>
                <w:color w:val="7F7F7F" w:themeColor="text1" w:themeTint="80"/>
                <w:sz w:val="20"/>
                <w:szCs w:val="18"/>
              </w:rPr>
              <w:t>59,264</w:t>
            </w:r>
          </w:p>
        </w:tc>
      </w:tr>
      <w:tr w:rsidR="00536FEC" w:rsidRPr="000D0B78" w:rsidTr="0022493D">
        <w:trPr>
          <w:trHeight w:val="219"/>
        </w:trPr>
        <w:tc>
          <w:tcPr>
            <w:tcW w:w="1863" w:type="pct"/>
            <w:vAlign w:val="center"/>
          </w:tcPr>
          <w:p w:rsidR="00536FEC" w:rsidRPr="000D0B78" w:rsidRDefault="00536FEC" w:rsidP="006D5099">
            <w:pPr>
              <w:pStyle w:val="Pa54"/>
              <w:rPr>
                <w:rFonts w:ascii="Arial" w:hAnsi="Arial" w:cs="Arial"/>
                <w:color w:val="808080" w:themeColor="background1" w:themeShade="80"/>
                <w:sz w:val="20"/>
                <w:szCs w:val="18"/>
              </w:rPr>
            </w:pPr>
            <w:r w:rsidRPr="000D0B78">
              <w:rPr>
                <w:rFonts w:ascii="Arial" w:hAnsi="Arial" w:cs="Arial"/>
                <w:bCs/>
                <w:color w:val="808080" w:themeColor="background1" w:themeShade="80"/>
                <w:sz w:val="20"/>
                <w:szCs w:val="18"/>
              </w:rPr>
              <w:t>2</w:t>
            </w:r>
          </w:p>
        </w:tc>
        <w:tc>
          <w:tcPr>
            <w:tcW w:w="3137" w:type="pct"/>
          </w:tcPr>
          <w:p w:rsidR="00536FEC" w:rsidRPr="00536FEC" w:rsidRDefault="00E8354A" w:rsidP="006D5099">
            <w:pPr>
              <w:pStyle w:val="Pa54"/>
              <w:rPr>
                <w:rFonts w:ascii="Arial" w:hAnsi="Arial" w:cs="Arial"/>
                <w:color w:val="7F7F7F" w:themeColor="text1" w:themeTint="80"/>
                <w:sz w:val="20"/>
                <w:szCs w:val="18"/>
              </w:rPr>
            </w:pPr>
            <w:r>
              <w:rPr>
                <w:rFonts w:ascii="Arial" w:hAnsi="Arial" w:cs="Arial"/>
                <w:color w:val="7F7F7F" w:themeColor="text1" w:themeTint="80"/>
                <w:sz w:val="20"/>
                <w:szCs w:val="18"/>
              </w:rPr>
              <w:t>£46,799</w:t>
            </w:r>
            <w:r w:rsidR="00536FEC" w:rsidRPr="00536FEC">
              <w:rPr>
                <w:rFonts w:ascii="Arial" w:hAnsi="Arial" w:cs="Arial"/>
                <w:color w:val="7F7F7F" w:themeColor="text1" w:themeTint="80"/>
                <w:sz w:val="20"/>
                <w:szCs w:val="18"/>
              </w:rPr>
              <w:t xml:space="preserve"> – </w:t>
            </w:r>
            <w:r w:rsidR="00536FEC">
              <w:rPr>
                <w:rFonts w:ascii="Arial" w:hAnsi="Arial" w:cs="Arial"/>
                <w:color w:val="7F7F7F" w:themeColor="text1" w:themeTint="80"/>
                <w:sz w:val="20"/>
                <w:szCs w:val="18"/>
              </w:rPr>
              <w:t>£</w:t>
            </w:r>
            <w:r>
              <w:rPr>
                <w:rFonts w:ascii="Arial" w:hAnsi="Arial" w:cs="Arial"/>
                <w:color w:val="7F7F7F" w:themeColor="text1" w:themeTint="80"/>
                <w:sz w:val="20"/>
                <w:szCs w:val="18"/>
              </w:rPr>
              <w:t>63,779</w:t>
            </w:r>
          </w:p>
        </w:tc>
      </w:tr>
      <w:tr w:rsidR="00536FEC" w:rsidRPr="000D0B78" w:rsidTr="0022493D">
        <w:trPr>
          <w:trHeight w:val="219"/>
        </w:trPr>
        <w:tc>
          <w:tcPr>
            <w:tcW w:w="1863" w:type="pct"/>
            <w:vAlign w:val="center"/>
          </w:tcPr>
          <w:p w:rsidR="00536FEC" w:rsidRPr="000D0B78" w:rsidRDefault="00536FEC" w:rsidP="006D5099">
            <w:pPr>
              <w:pStyle w:val="Pa54"/>
              <w:rPr>
                <w:rFonts w:ascii="Arial" w:hAnsi="Arial" w:cs="Arial"/>
                <w:color w:val="808080" w:themeColor="background1" w:themeShade="80"/>
                <w:sz w:val="20"/>
                <w:szCs w:val="18"/>
              </w:rPr>
            </w:pPr>
            <w:r w:rsidRPr="000D0B78">
              <w:rPr>
                <w:rFonts w:ascii="Arial" w:hAnsi="Arial" w:cs="Arial"/>
                <w:bCs/>
                <w:color w:val="808080" w:themeColor="background1" w:themeShade="80"/>
                <w:sz w:val="20"/>
                <w:szCs w:val="18"/>
              </w:rPr>
              <w:t>3</w:t>
            </w:r>
          </w:p>
        </w:tc>
        <w:tc>
          <w:tcPr>
            <w:tcW w:w="3137" w:type="pct"/>
          </w:tcPr>
          <w:p w:rsidR="00536FEC" w:rsidRPr="00536FEC" w:rsidRDefault="00E8354A" w:rsidP="006D5099">
            <w:pPr>
              <w:pStyle w:val="Pa54"/>
              <w:rPr>
                <w:rFonts w:ascii="Arial" w:hAnsi="Arial" w:cs="Arial"/>
                <w:color w:val="7F7F7F" w:themeColor="text1" w:themeTint="80"/>
                <w:sz w:val="20"/>
                <w:szCs w:val="18"/>
              </w:rPr>
            </w:pPr>
            <w:r>
              <w:rPr>
                <w:rFonts w:ascii="Arial" w:hAnsi="Arial" w:cs="Arial"/>
                <w:color w:val="7F7F7F" w:themeColor="text1" w:themeTint="80"/>
                <w:sz w:val="20"/>
                <w:szCs w:val="18"/>
              </w:rPr>
              <w:t>£50,476</w:t>
            </w:r>
            <w:r w:rsidR="00536FEC" w:rsidRPr="00536FEC">
              <w:rPr>
                <w:rFonts w:ascii="Arial" w:hAnsi="Arial" w:cs="Arial"/>
                <w:color w:val="7F7F7F" w:themeColor="text1" w:themeTint="80"/>
                <w:sz w:val="20"/>
                <w:szCs w:val="18"/>
              </w:rPr>
              <w:t xml:space="preserve"> – </w:t>
            </w:r>
            <w:r w:rsidR="00536FEC">
              <w:rPr>
                <w:rFonts w:ascii="Arial" w:hAnsi="Arial" w:cs="Arial"/>
                <w:color w:val="7F7F7F" w:themeColor="text1" w:themeTint="80"/>
                <w:sz w:val="20"/>
                <w:szCs w:val="18"/>
              </w:rPr>
              <w:t>£</w:t>
            </w:r>
            <w:r w:rsidR="00536FEC" w:rsidRPr="00536FEC">
              <w:rPr>
                <w:rFonts w:ascii="Arial" w:hAnsi="Arial" w:cs="Arial"/>
                <w:color w:val="7F7F7F" w:themeColor="text1" w:themeTint="80"/>
                <w:sz w:val="20"/>
                <w:szCs w:val="18"/>
              </w:rPr>
              <w:t>68,643</w:t>
            </w:r>
          </w:p>
        </w:tc>
      </w:tr>
      <w:tr w:rsidR="00536FEC" w:rsidRPr="000D0B78" w:rsidTr="0022493D">
        <w:trPr>
          <w:trHeight w:val="219"/>
        </w:trPr>
        <w:tc>
          <w:tcPr>
            <w:tcW w:w="1863" w:type="pct"/>
            <w:vAlign w:val="center"/>
          </w:tcPr>
          <w:p w:rsidR="00536FEC" w:rsidRPr="000D0B78" w:rsidRDefault="00536FEC" w:rsidP="006D5099">
            <w:pPr>
              <w:pStyle w:val="Pa54"/>
              <w:rPr>
                <w:rFonts w:ascii="Arial" w:hAnsi="Arial" w:cs="Arial"/>
                <w:color w:val="808080" w:themeColor="background1" w:themeShade="80"/>
                <w:sz w:val="20"/>
                <w:szCs w:val="18"/>
              </w:rPr>
            </w:pPr>
            <w:r w:rsidRPr="000D0B78">
              <w:rPr>
                <w:rFonts w:ascii="Arial" w:hAnsi="Arial" w:cs="Arial"/>
                <w:bCs/>
                <w:color w:val="808080" w:themeColor="background1" w:themeShade="80"/>
                <w:sz w:val="20"/>
                <w:szCs w:val="18"/>
              </w:rPr>
              <w:t>4</w:t>
            </w:r>
          </w:p>
        </w:tc>
        <w:tc>
          <w:tcPr>
            <w:tcW w:w="3137" w:type="pct"/>
          </w:tcPr>
          <w:p w:rsidR="00536FEC" w:rsidRPr="00536FEC" w:rsidRDefault="00E8354A" w:rsidP="006D5099">
            <w:pPr>
              <w:pStyle w:val="Pa54"/>
              <w:rPr>
                <w:rFonts w:ascii="Arial" w:hAnsi="Arial" w:cs="Arial"/>
                <w:color w:val="7F7F7F" w:themeColor="text1" w:themeTint="80"/>
                <w:sz w:val="20"/>
                <w:szCs w:val="18"/>
              </w:rPr>
            </w:pPr>
            <w:r>
              <w:rPr>
                <w:rFonts w:ascii="Arial" w:hAnsi="Arial" w:cs="Arial"/>
                <w:color w:val="7F7F7F" w:themeColor="text1" w:themeTint="80"/>
                <w:sz w:val="20"/>
                <w:szCs w:val="18"/>
              </w:rPr>
              <w:t>£54,250</w:t>
            </w:r>
            <w:r w:rsidR="00536FEC" w:rsidRPr="00536FEC">
              <w:rPr>
                <w:rFonts w:ascii="Arial" w:hAnsi="Arial" w:cs="Arial"/>
                <w:color w:val="7F7F7F" w:themeColor="text1" w:themeTint="80"/>
                <w:sz w:val="20"/>
                <w:szCs w:val="18"/>
              </w:rPr>
              <w:t xml:space="preserve"> – </w:t>
            </w:r>
            <w:r w:rsidR="00536FEC">
              <w:rPr>
                <w:rFonts w:ascii="Arial" w:hAnsi="Arial" w:cs="Arial"/>
                <w:color w:val="7F7F7F" w:themeColor="text1" w:themeTint="80"/>
                <w:sz w:val="20"/>
                <w:szCs w:val="18"/>
              </w:rPr>
              <w:t>£</w:t>
            </w:r>
            <w:r>
              <w:rPr>
                <w:rFonts w:ascii="Arial" w:hAnsi="Arial" w:cs="Arial"/>
                <w:color w:val="7F7F7F" w:themeColor="text1" w:themeTint="80"/>
                <w:sz w:val="20"/>
                <w:szCs w:val="18"/>
              </w:rPr>
              <w:t>73,876</w:t>
            </w:r>
          </w:p>
        </w:tc>
      </w:tr>
      <w:tr w:rsidR="00536FEC" w:rsidRPr="000D0B78" w:rsidTr="0022493D">
        <w:trPr>
          <w:trHeight w:val="219"/>
        </w:trPr>
        <w:tc>
          <w:tcPr>
            <w:tcW w:w="1863" w:type="pct"/>
            <w:vAlign w:val="center"/>
          </w:tcPr>
          <w:p w:rsidR="00536FEC" w:rsidRPr="000D0B78" w:rsidRDefault="00536FEC" w:rsidP="006D5099">
            <w:pPr>
              <w:pStyle w:val="Pa54"/>
              <w:rPr>
                <w:rFonts w:ascii="Arial" w:hAnsi="Arial" w:cs="Arial"/>
                <w:color w:val="808080" w:themeColor="background1" w:themeShade="80"/>
                <w:sz w:val="20"/>
                <w:szCs w:val="18"/>
              </w:rPr>
            </w:pPr>
            <w:r w:rsidRPr="000D0B78">
              <w:rPr>
                <w:rFonts w:ascii="Arial" w:hAnsi="Arial" w:cs="Arial"/>
                <w:bCs/>
                <w:color w:val="808080" w:themeColor="background1" w:themeShade="80"/>
                <w:sz w:val="20"/>
                <w:szCs w:val="18"/>
              </w:rPr>
              <w:t>5</w:t>
            </w:r>
          </w:p>
        </w:tc>
        <w:tc>
          <w:tcPr>
            <w:tcW w:w="3137" w:type="pct"/>
          </w:tcPr>
          <w:p w:rsidR="00536FEC" w:rsidRPr="00536FEC" w:rsidRDefault="00E8354A" w:rsidP="006D5099">
            <w:pPr>
              <w:pStyle w:val="Pa54"/>
              <w:rPr>
                <w:rFonts w:ascii="Arial" w:hAnsi="Arial" w:cs="Arial"/>
                <w:color w:val="7F7F7F" w:themeColor="text1" w:themeTint="80"/>
                <w:sz w:val="20"/>
                <w:szCs w:val="18"/>
              </w:rPr>
            </w:pPr>
            <w:r>
              <w:rPr>
                <w:rFonts w:ascii="Arial" w:hAnsi="Arial" w:cs="Arial"/>
                <w:color w:val="7F7F7F" w:themeColor="text1" w:themeTint="80"/>
                <w:sz w:val="20"/>
                <w:szCs w:val="18"/>
              </w:rPr>
              <w:t>£59,857</w:t>
            </w:r>
            <w:r w:rsidR="00536FEC" w:rsidRPr="00536FEC">
              <w:rPr>
                <w:rFonts w:ascii="Arial" w:hAnsi="Arial" w:cs="Arial"/>
                <w:color w:val="7F7F7F" w:themeColor="text1" w:themeTint="80"/>
                <w:sz w:val="20"/>
                <w:szCs w:val="18"/>
              </w:rPr>
              <w:t xml:space="preserve"> – </w:t>
            </w:r>
            <w:r w:rsidR="00536FEC">
              <w:rPr>
                <w:rFonts w:ascii="Arial" w:hAnsi="Arial" w:cs="Arial"/>
                <w:color w:val="7F7F7F" w:themeColor="text1" w:themeTint="80"/>
                <w:sz w:val="20"/>
                <w:szCs w:val="18"/>
              </w:rPr>
              <w:t>£</w:t>
            </w:r>
            <w:r w:rsidR="00536FEC" w:rsidRPr="00536FEC">
              <w:rPr>
                <w:rFonts w:ascii="Arial" w:hAnsi="Arial" w:cs="Arial"/>
                <w:color w:val="7F7F7F" w:themeColor="text1" w:themeTint="80"/>
                <w:sz w:val="20"/>
                <w:szCs w:val="18"/>
              </w:rPr>
              <w:t>81,478</w:t>
            </w:r>
          </w:p>
        </w:tc>
      </w:tr>
      <w:tr w:rsidR="00536FEC" w:rsidRPr="000D0B78" w:rsidTr="0022493D">
        <w:trPr>
          <w:trHeight w:val="219"/>
        </w:trPr>
        <w:tc>
          <w:tcPr>
            <w:tcW w:w="1863" w:type="pct"/>
            <w:vAlign w:val="center"/>
          </w:tcPr>
          <w:p w:rsidR="00536FEC" w:rsidRPr="000D0B78" w:rsidRDefault="00536FEC" w:rsidP="006D5099">
            <w:pPr>
              <w:pStyle w:val="Pa54"/>
              <w:rPr>
                <w:rFonts w:ascii="Arial" w:hAnsi="Arial" w:cs="Arial"/>
                <w:color w:val="808080" w:themeColor="background1" w:themeShade="80"/>
                <w:sz w:val="20"/>
                <w:szCs w:val="18"/>
              </w:rPr>
            </w:pPr>
            <w:r w:rsidRPr="000D0B78">
              <w:rPr>
                <w:rFonts w:ascii="Arial" w:hAnsi="Arial" w:cs="Arial"/>
                <w:bCs/>
                <w:color w:val="808080" w:themeColor="background1" w:themeShade="80"/>
                <w:sz w:val="20"/>
                <w:szCs w:val="18"/>
              </w:rPr>
              <w:t>6</w:t>
            </w:r>
          </w:p>
        </w:tc>
        <w:tc>
          <w:tcPr>
            <w:tcW w:w="3137" w:type="pct"/>
          </w:tcPr>
          <w:p w:rsidR="00536FEC" w:rsidRPr="00536FEC" w:rsidRDefault="00E8354A" w:rsidP="006D5099">
            <w:pPr>
              <w:pStyle w:val="Pa54"/>
              <w:rPr>
                <w:rFonts w:ascii="Arial" w:hAnsi="Arial" w:cs="Arial"/>
                <w:color w:val="7F7F7F" w:themeColor="text1" w:themeTint="80"/>
                <w:sz w:val="20"/>
                <w:szCs w:val="18"/>
              </w:rPr>
            </w:pPr>
            <w:r>
              <w:rPr>
                <w:rFonts w:ascii="Arial" w:hAnsi="Arial" w:cs="Arial"/>
                <w:color w:val="7F7F7F" w:themeColor="text1" w:themeTint="80"/>
                <w:sz w:val="20"/>
                <w:szCs w:val="18"/>
              </w:rPr>
              <w:t>£64,417</w:t>
            </w:r>
            <w:r w:rsidR="00536FEC" w:rsidRPr="00536FEC">
              <w:rPr>
                <w:rFonts w:ascii="Arial" w:hAnsi="Arial" w:cs="Arial"/>
                <w:color w:val="7F7F7F" w:themeColor="text1" w:themeTint="80"/>
                <w:sz w:val="20"/>
                <w:szCs w:val="18"/>
              </w:rPr>
              <w:t xml:space="preserve"> – </w:t>
            </w:r>
            <w:r w:rsidR="00536FEC">
              <w:rPr>
                <w:rFonts w:ascii="Arial" w:hAnsi="Arial" w:cs="Arial"/>
                <w:color w:val="7F7F7F" w:themeColor="text1" w:themeTint="80"/>
                <w:sz w:val="20"/>
                <w:szCs w:val="18"/>
              </w:rPr>
              <w:t>£</w:t>
            </w:r>
            <w:r w:rsidR="00536FEC" w:rsidRPr="00536FEC">
              <w:rPr>
                <w:rFonts w:ascii="Arial" w:hAnsi="Arial" w:cs="Arial"/>
                <w:color w:val="7F7F7F" w:themeColor="text1" w:themeTint="80"/>
                <w:sz w:val="20"/>
                <w:szCs w:val="18"/>
              </w:rPr>
              <w:t>89,874</w:t>
            </w:r>
          </w:p>
        </w:tc>
      </w:tr>
      <w:tr w:rsidR="00536FEC" w:rsidRPr="000D0B78" w:rsidTr="0022493D">
        <w:trPr>
          <w:trHeight w:val="219"/>
        </w:trPr>
        <w:tc>
          <w:tcPr>
            <w:tcW w:w="1863" w:type="pct"/>
            <w:vAlign w:val="center"/>
          </w:tcPr>
          <w:p w:rsidR="00536FEC" w:rsidRPr="000D0B78" w:rsidRDefault="00536FEC" w:rsidP="006D5099">
            <w:pPr>
              <w:pStyle w:val="Pa54"/>
              <w:rPr>
                <w:rFonts w:ascii="Arial" w:hAnsi="Arial" w:cs="Arial"/>
                <w:color w:val="808080" w:themeColor="background1" w:themeShade="80"/>
                <w:sz w:val="20"/>
                <w:szCs w:val="18"/>
              </w:rPr>
            </w:pPr>
            <w:r w:rsidRPr="000D0B78">
              <w:rPr>
                <w:rFonts w:ascii="Arial" w:hAnsi="Arial" w:cs="Arial"/>
                <w:bCs/>
                <w:color w:val="808080" w:themeColor="background1" w:themeShade="80"/>
                <w:sz w:val="20"/>
                <w:szCs w:val="18"/>
              </w:rPr>
              <w:t>7</w:t>
            </w:r>
          </w:p>
        </w:tc>
        <w:tc>
          <w:tcPr>
            <w:tcW w:w="3137" w:type="pct"/>
          </w:tcPr>
          <w:p w:rsidR="00536FEC" w:rsidRPr="00536FEC" w:rsidRDefault="00E8354A" w:rsidP="006D5099">
            <w:pPr>
              <w:pStyle w:val="Pa54"/>
              <w:tabs>
                <w:tab w:val="center" w:pos="4153"/>
                <w:tab w:val="right" w:pos="8306"/>
              </w:tabs>
              <w:rPr>
                <w:rFonts w:ascii="Arial" w:hAnsi="Arial" w:cs="Arial"/>
                <w:color w:val="7F7F7F" w:themeColor="text1" w:themeTint="80"/>
                <w:sz w:val="20"/>
                <w:szCs w:val="18"/>
              </w:rPr>
            </w:pPr>
            <w:r>
              <w:rPr>
                <w:rFonts w:ascii="Arial" w:hAnsi="Arial" w:cs="Arial"/>
                <w:color w:val="7F7F7F" w:themeColor="text1" w:themeTint="80"/>
                <w:sz w:val="20"/>
                <w:szCs w:val="18"/>
              </w:rPr>
              <w:t>£69,330</w:t>
            </w:r>
            <w:r w:rsidR="000A24A2">
              <w:rPr>
                <w:rFonts w:ascii="Arial" w:hAnsi="Arial" w:cs="Arial"/>
                <w:color w:val="7F7F7F" w:themeColor="text1" w:themeTint="80"/>
                <w:sz w:val="20"/>
                <w:szCs w:val="18"/>
              </w:rPr>
              <w:t xml:space="preserve"> </w:t>
            </w:r>
            <w:r w:rsidR="00536FEC" w:rsidRPr="00536FEC">
              <w:rPr>
                <w:rFonts w:ascii="Arial" w:hAnsi="Arial" w:cs="Arial"/>
                <w:color w:val="7F7F7F" w:themeColor="text1" w:themeTint="80"/>
                <w:sz w:val="20"/>
                <w:szCs w:val="18"/>
              </w:rPr>
              <w:t xml:space="preserve">– </w:t>
            </w:r>
            <w:r w:rsidR="00536FEC">
              <w:rPr>
                <w:rFonts w:ascii="Arial" w:hAnsi="Arial" w:cs="Arial"/>
                <w:color w:val="7F7F7F" w:themeColor="text1" w:themeTint="80"/>
                <w:sz w:val="20"/>
                <w:szCs w:val="18"/>
              </w:rPr>
              <w:t>£</w:t>
            </w:r>
            <w:r w:rsidR="00536FEC" w:rsidRPr="00536FEC">
              <w:rPr>
                <w:rFonts w:ascii="Arial" w:hAnsi="Arial" w:cs="Arial"/>
                <w:color w:val="7F7F7F" w:themeColor="text1" w:themeTint="80"/>
                <w:sz w:val="20"/>
                <w:szCs w:val="18"/>
              </w:rPr>
              <w:t>99,081</w:t>
            </w:r>
          </w:p>
        </w:tc>
      </w:tr>
      <w:tr w:rsidR="00536FEC" w:rsidRPr="000D0B78" w:rsidTr="0022493D">
        <w:trPr>
          <w:trHeight w:val="219"/>
        </w:trPr>
        <w:tc>
          <w:tcPr>
            <w:tcW w:w="1863" w:type="pct"/>
            <w:vAlign w:val="center"/>
          </w:tcPr>
          <w:p w:rsidR="00536FEC" w:rsidRPr="000D0B78" w:rsidRDefault="00536FEC" w:rsidP="006D5099">
            <w:pPr>
              <w:pStyle w:val="Pa54"/>
              <w:rPr>
                <w:rFonts w:ascii="Arial" w:hAnsi="Arial" w:cs="Arial"/>
                <w:color w:val="808080" w:themeColor="background1" w:themeShade="80"/>
                <w:sz w:val="20"/>
                <w:szCs w:val="18"/>
              </w:rPr>
            </w:pPr>
            <w:r w:rsidRPr="000D0B78">
              <w:rPr>
                <w:rFonts w:ascii="Arial" w:hAnsi="Arial" w:cs="Arial"/>
                <w:bCs/>
                <w:color w:val="808080" w:themeColor="background1" w:themeShade="80"/>
                <w:sz w:val="20"/>
                <w:szCs w:val="18"/>
              </w:rPr>
              <w:t>8</w:t>
            </w:r>
          </w:p>
        </w:tc>
        <w:tc>
          <w:tcPr>
            <w:tcW w:w="3137" w:type="pct"/>
          </w:tcPr>
          <w:p w:rsidR="00536FEC" w:rsidRPr="00536FEC" w:rsidRDefault="00E8354A" w:rsidP="006D5099">
            <w:pPr>
              <w:pStyle w:val="Pa54"/>
              <w:rPr>
                <w:rFonts w:ascii="Arial" w:hAnsi="Arial" w:cs="Arial"/>
                <w:color w:val="7F7F7F" w:themeColor="text1" w:themeTint="80"/>
                <w:sz w:val="20"/>
                <w:szCs w:val="18"/>
              </w:rPr>
            </w:pPr>
            <w:r>
              <w:rPr>
                <w:rFonts w:ascii="Arial" w:hAnsi="Arial" w:cs="Arial"/>
                <w:color w:val="7F7F7F" w:themeColor="text1" w:themeTint="80"/>
                <w:sz w:val="20"/>
                <w:szCs w:val="18"/>
              </w:rPr>
              <w:t>£76,466</w:t>
            </w:r>
            <w:r w:rsidR="000A24A2">
              <w:rPr>
                <w:rFonts w:ascii="Arial" w:hAnsi="Arial" w:cs="Arial"/>
                <w:color w:val="7F7F7F" w:themeColor="text1" w:themeTint="80"/>
                <w:sz w:val="20"/>
                <w:szCs w:val="18"/>
              </w:rPr>
              <w:t xml:space="preserve"> </w:t>
            </w:r>
            <w:r w:rsidR="00536FEC" w:rsidRPr="00536FEC">
              <w:rPr>
                <w:rFonts w:ascii="Arial" w:hAnsi="Arial" w:cs="Arial"/>
                <w:color w:val="7F7F7F" w:themeColor="text1" w:themeTint="80"/>
                <w:sz w:val="20"/>
                <w:szCs w:val="18"/>
              </w:rPr>
              <w:t xml:space="preserve">– </w:t>
            </w:r>
            <w:r w:rsidR="00536FEC">
              <w:rPr>
                <w:rFonts w:ascii="Arial" w:hAnsi="Arial" w:cs="Arial"/>
                <w:color w:val="7F7F7F" w:themeColor="text1" w:themeTint="80"/>
                <w:sz w:val="20"/>
                <w:szCs w:val="18"/>
              </w:rPr>
              <w:t>£</w:t>
            </w:r>
            <w:r>
              <w:rPr>
                <w:rFonts w:ascii="Arial" w:hAnsi="Arial" w:cs="Arial"/>
                <w:color w:val="7F7F7F" w:themeColor="text1" w:themeTint="80"/>
                <w:sz w:val="20"/>
                <w:szCs w:val="18"/>
              </w:rPr>
              <w:t>109,366</w:t>
            </w:r>
          </w:p>
        </w:tc>
      </w:tr>
    </w:tbl>
    <w:p w:rsidR="00EA1D46" w:rsidRDefault="00EA1D46" w:rsidP="00EA1D46">
      <w:pPr>
        <w:spacing w:before="16" w:line="260" w:lineRule="exact"/>
        <w:jc w:val="both"/>
        <w:rPr>
          <w:lang w:val="en-US"/>
        </w:rPr>
      </w:pPr>
    </w:p>
    <w:p w:rsidR="00EA1D46" w:rsidRDefault="00EA1D46" w:rsidP="00EA1D46">
      <w:pPr>
        <w:spacing w:before="16" w:line="260" w:lineRule="exact"/>
        <w:jc w:val="both"/>
        <w:rPr>
          <w:lang w:val="en-US"/>
        </w:rPr>
      </w:pPr>
    </w:p>
    <w:p w:rsidR="00EA1D46" w:rsidRDefault="00EA1D46" w:rsidP="00EA1D46">
      <w:pPr>
        <w:spacing w:before="16" w:line="260" w:lineRule="exact"/>
        <w:jc w:val="both"/>
        <w:rPr>
          <w:spacing w:val="1"/>
          <w:lang w:val="en-US"/>
        </w:rPr>
      </w:pPr>
    </w:p>
    <w:p w:rsidR="0022493D" w:rsidRPr="00DA437D" w:rsidRDefault="0022493D" w:rsidP="006D5099">
      <w:pPr>
        <w:widowControl w:val="0"/>
        <w:autoSpaceDE w:val="0"/>
        <w:autoSpaceDN w:val="0"/>
        <w:adjustRightInd w:val="0"/>
        <w:rPr>
          <w:b/>
          <w:sz w:val="14"/>
          <w:szCs w:val="18"/>
        </w:rPr>
      </w:pPr>
    </w:p>
    <w:tbl>
      <w:tblPr>
        <w:tblpPr w:leftFromText="180" w:rightFromText="180" w:vertAnchor="text" w:horzAnchor="margin" w:tblpXSpec="center" w:tblpY="-266"/>
        <w:tblW w:w="8613" w:type="dxa"/>
        <w:tblLook w:val="04A0" w:firstRow="1" w:lastRow="0" w:firstColumn="1" w:lastColumn="0" w:noHBand="0" w:noVBand="1"/>
      </w:tblPr>
      <w:tblGrid>
        <w:gridCol w:w="482"/>
        <w:gridCol w:w="482"/>
        <w:gridCol w:w="482"/>
        <w:gridCol w:w="482"/>
        <w:gridCol w:w="669"/>
        <w:gridCol w:w="1830"/>
        <w:gridCol w:w="1493"/>
        <w:gridCol w:w="1559"/>
        <w:gridCol w:w="1134"/>
      </w:tblGrid>
      <w:tr w:rsidR="00895300" w:rsidRPr="00505452" w:rsidTr="00A91EFA">
        <w:trPr>
          <w:trHeight w:val="281"/>
        </w:trPr>
        <w:tc>
          <w:tcPr>
            <w:tcW w:w="861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95300" w:rsidRPr="00954094" w:rsidRDefault="00895300" w:rsidP="00A91EFA">
            <w:pPr>
              <w:pStyle w:val="Heading1"/>
              <w:spacing w:before="0"/>
              <w:rPr>
                <w:sz w:val="28"/>
                <w:szCs w:val="26"/>
              </w:rPr>
            </w:pPr>
            <w:bookmarkStart w:id="45" w:name="_Toc456702330"/>
            <w:bookmarkStart w:id="46" w:name="_Toc502239803"/>
            <w:r w:rsidRPr="00954094">
              <w:rPr>
                <w:sz w:val="28"/>
                <w:szCs w:val="26"/>
              </w:rPr>
              <w:t>Appendix 3 Spinal</w:t>
            </w:r>
            <w:r w:rsidRPr="0022493D">
              <w:rPr>
                <w:rStyle w:val="Heading2Char"/>
              </w:rPr>
              <w:t xml:space="preserve"> Column Points</w:t>
            </w:r>
            <w:bookmarkEnd w:id="45"/>
            <w:bookmarkEnd w:id="46"/>
            <w:r w:rsidRPr="00954094">
              <w:rPr>
                <w:sz w:val="28"/>
                <w:szCs w:val="26"/>
              </w:rPr>
              <w:t xml:space="preserve"> </w:t>
            </w:r>
          </w:p>
          <w:p w:rsidR="00895300" w:rsidRPr="00F25A62" w:rsidRDefault="00895300" w:rsidP="00A91EFA">
            <w:pPr>
              <w:rPr>
                <w:szCs w:val="26"/>
              </w:rPr>
            </w:pPr>
            <w:r>
              <w:rPr>
                <w:sz w:val="22"/>
              </w:rPr>
              <w:t>Operative from 1</w:t>
            </w:r>
            <w:r w:rsidRPr="0093317F">
              <w:rPr>
                <w:sz w:val="22"/>
                <w:vertAlign w:val="superscript"/>
              </w:rPr>
              <w:t>st</w:t>
            </w:r>
            <w:r>
              <w:rPr>
                <w:sz w:val="22"/>
              </w:rPr>
              <w:t xml:space="preserve"> April  2016</w:t>
            </w:r>
            <w:r w:rsidRPr="00954094">
              <w:rPr>
                <w:sz w:val="22"/>
              </w:rPr>
              <w:t xml:space="preserve"> t</w:t>
            </w:r>
            <w:r>
              <w:rPr>
                <w:sz w:val="22"/>
              </w:rPr>
              <w:t>o 31</w:t>
            </w:r>
            <w:r w:rsidRPr="002E26DA">
              <w:rPr>
                <w:sz w:val="22"/>
                <w:vertAlign w:val="superscript"/>
              </w:rPr>
              <w:t>st</w:t>
            </w:r>
            <w:r w:rsidR="00A91EFA">
              <w:rPr>
                <w:sz w:val="22"/>
              </w:rPr>
              <w:t xml:space="preserve"> March </w:t>
            </w:r>
            <w:r>
              <w:rPr>
                <w:sz w:val="22"/>
              </w:rPr>
              <w:t>2018</w:t>
            </w:r>
          </w:p>
        </w:tc>
      </w:tr>
      <w:tr w:rsidR="00895300" w:rsidRPr="00505452" w:rsidTr="00A91EFA">
        <w:trPr>
          <w:trHeight w:val="254"/>
        </w:trPr>
        <w:tc>
          <w:tcPr>
            <w:tcW w:w="964" w:type="dxa"/>
            <w:gridSpan w:val="2"/>
            <w:tcBorders>
              <w:top w:val="nil"/>
              <w:left w:val="single" w:sz="4" w:space="0" w:color="auto"/>
              <w:bottom w:val="single" w:sz="4" w:space="0" w:color="auto"/>
              <w:right w:val="single" w:sz="4" w:space="0" w:color="000000"/>
            </w:tcBorders>
            <w:shd w:val="clear" w:color="auto" w:fill="auto"/>
            <w:vAlign w:val="center"/>
            <w:hideMark/>
          </w:tcPr>
          <w:p w:rsidR="00895300" w:rsidRPr="00D1662D" w:rsidRDefault="00895300" w:rsidP="00A91EFA">
            <w:pPr>
              <w:jc w:val="center"/>
              <w:rPr>
                <w:b/>
                <w:bCs/>
                <w:sz w:val="18"/>
                <w:szCs w:val="20"/>
              </w:rPr>
            </w:pPr>
            <w:r w:rsidRPr="00D1662D">
              <w:rPr>
                <w:b/>
                <w:bCs/>
                <w:sz w:val="18"/>
                <w:szCs w:val="20"/>
              </w:rPr>
              <w:t>Scales</w:t>
            </w:r>
          </w:p>
        </w:tc>
        <w:tc>
          <w:tcPr>
            <w:tcW w:w="964" w:type="dxa"/>
            <w:gridSpan w:val="2"/>
            <w:tcBorders>
              <w:top w:val="nil"/>
              <w:left w:val="nil"/>
              <w:bottom w:val="single" w:sz="4" w:space="0" w:color="auto"/>
              <w:right w:val="single" w:sz="4" w:space="0" w:color="000000"/>
            </w:tcBorders>
            <w:shd w:val="clear" w:color="auto" w:fill="auto"/>
            <w:vAlign w:val="center"/>
            <w:hideMark/>
          </w:tcPr>
          <w:p w:rsidR="00895300" w:rsidRPr="00D1662D" w:rsidRDefault="00895300" w:rsidP="00A91EFA">
            <w:pPr>
              <w:jc w:val="center"/>
              <w:rPr>
                <w:b/>
                <w:bCs/>
                <w:sz w:val="18"/>
                <w:szCs w:val="20"/>
              </w:rPr>
            </w:pPr>
            <w:r w:rsidRPr="00D1662D">
              <w:rPr>
                <w:b/>
                <w:bCs/>
                <w:sz w:val="18"/>
                <w:szCs w:val="20"/>
              </w:rPr>
              <w:t>Bands</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D1662D" w:rsidRDefault="00895300" w:rsidP="00A91EFA">
            <w:pPr>
              <w:jc w:val="center"/>
              <w:rPr>
                <w:b/>
                <w:bCs/>
                <w:sz w:val="18"/>
                <w:szCs w:val="20"/>
              </w:rPr>
            </w:pPr>
            <w:r w:rsidRPr="00D1662D">
              <w:rPr>
                <w:b/>
                <w:bCs/>
                <w:sz w:val="18"/>
                <w:szCs w:val="20"/>
              </w:rPr>
              <w:t>SCP</w:t>
            </w:r>
          </w:p>
        </w:tc>
        <w:tc>
          <w:tcPr>
            <w:tcW w:w="1830"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jc w:val="center"/>
              <w:rPr>
                <w:b/>
                <w:bCs/>
                <w:sz w:val="18"/>
                <w:szCs w:val="20"/>
              </w:rPr>
            </w:pPr>
            <w:r w:rsidRPr="00D1662D">
              <w:rPr>
                <w:b/>
                <w:bCs/>
                <w:sz w:val="18"/>
                <w:szCs w:val="20"/>
              </w:rPr>
              <w:t>Salary</w:t>
            </w:r>
          </w:p>
        </w:tc>
        <w:tc>
          <w:tcPr>
            <w:tcW w:w="1493"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jc w:val="center"/>
              <w:rPr>
                <w:b/>
                <w:bCs/>
                <w:sz w:val="18"/>
                <w:szCs w:val="20"/>
              </w:rPr>
            </w:pPr>
            <w:r w:rsidRPr="00D1662D">
              <w:rPr>
                <w:b/>
                <w:bCs/>
                <w:sz w:val="18"/>
                <w:szCs w:val="20"/>
              </w:rPr>
              <w:t>Hourly Rate</w:t>
            </w:r>
          </w:p>
        </w:tc>
        <w:tc>
          <w:tcPr>
            <w:tcW w:w="1559"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jc w:val="center"/>
              <w:rPr>
                <w:b/>
                <w:bCs/>
                <w:sz w:val="18"/>
                <w:szCs w:val="20"/>
              </w:rPr>
            </w:pPr>
            <w:r w:rsidRPr="00D1662D">
              <w:rPr>
                <w:b/>
                <w:bCs/>
                <w:sz w:val="18"/>
                <w:szCs w:val="20"/>
              </w:rPr>
              <w:t>Salary</w:t>
            </w:r>
          </w:p>
        </w:tc>
        <w:tc>
          <w:tcPr>
            <w:tcW w:w="1134"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jc w:val="center"/>
              <w:rPr>
                <w:b/>
                <w:bCs/>
                <w:sz w:val="18"/>
                <w:szCs w:val="20"/>
              </w:rPr>
            </w:pPr>
            <w:r w:rsidRPr="00D1662D">
              <w:rPr>
                <w:b/>
                <w:bCs/>
                <w:sz w:val="18"/>
                <w:szCs w:val="20"/>
              </w:rPr>
              <w:t>Hourly Rate</w:t>
            </w:r>
          </w:p>
        </w:tc>
      </w:tr>
      <w:tr w:rsidR="00895300" w:rsidRPr="00505452" w:rsidTr="00A91EFA">
        <w:trPr>
          <w:trHeight w:val="77"/>
        </w:trPr>
        <w:tc>
          <w:tcPr>
            <w:tcW w:w="96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5300" w:rsidRPr="00D1662D" w:rsidRDefault="00895300" w:rsidP="00A91EFA">
            <w:pPr>
              <w:jc w:val="center"/>
              <w:rPr>
                <w:b/>
                <w:bCs/>
                <w:sz w:val="18"/>
                <w:szCs w:val="20"/>
              </w:rPr>
            </w:pPr>
          </w:p>
        </w:tc>
        <w:tc>
          <w:tcPr>
            <w:tcW w:w="9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95300" w:rsidRPr="00D1662D" w:rsidRDefault="00895300" w:rsidP="00A91EFA">
            <w:pPr>
              <w:jc w:val="center"/>
              <w:rPr>
                <w:b/>
                <w:bCs/>
                <w:sz w:val="18"/>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D1662D" w:rsidRDefault="00895300" w:rsidP="00A91EFA">
            <w:pPr>
              <w:jc w:val="center"/>
              <w:rPr>
                <w:b/>
                <w:bCs/>
                <w:sz w:val="18"/>
                <w:szCs w:val="20"/>
              </w:rPr>
            </w:pPr>
          </w:p>
        </w:tc>
        <w:tc>
          <w:tcPr>
            <w:tcW w:w="1830"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jc w:val="center"/>
              <w:rPr>
                <w:b/>
                <w:sz w:val="18"/>
                <w:szCs w:val="20"/>
              </w:rPr>
            </w:pPr>
            <w:r w:rsidRPr="00D1662D">
              <w:rPr>
                <w:b/>
                <w:bCs/>
                <w:sz w:val="18"/>
                <w:szCs w:val="20"/>
              </w:rPr>
              <w:t>1</w:t>
            </w:r>
            <w:r w:rsidRPr="00D1662D">
              <w:rPr>
                <w:b/>
                <w:bCs/>
                <w:sz w:val="18"/>
                <w:szCs w:val="20"/>
                <w:vertAlign w:val="superscript"/>
              </w:rPr>
              <w:t>st</w:t>
            </w:r>
            <w:r w:rsidRPr="00D1662D">
              <w:rPr>
                <w:b/>
                <w:bCs/>
                <w:sz w:val="18"/>
                <w:szCs w:val="20"/>
              </w:rPr>
              <w:t xml:space="preserve"> April 2016</w:t>
            </w:r>
          </w:p>
        </w:tc>
        <w:tc>
          <w:tcPr>
            <w:tcW w:w="1493"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jc w:val="center"/>
              <w:rPr>
                <w:b/>
                <w:bCs/>
                <w:sz w:val="18"/>
                <w:szCs w:val="20"/>
              </w:rPr>
            </w:pPr>
            <w:r>
              <w:rPr>
                <w:b/>
                <w:bCs/>
                <w:sz w:val="18"/>
                <w:szCs w:val="20"/>
              </w:rPr>
              <w:t>37</w:t>
            </w:r>
          </w:p>
        </w:tc>
        <w:tc>
          <w:tcPr>
            <w:tcW w:w="1559"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jc w:val="center"/>
              <w:rPr>
                <w:b/>
                <w:bCs/>
                <w:sz w:val="18"/>
                <w:szCs w:val="20"/>
              </w:rPr>
            </w:pPr>
            <w:r>
              <w:rPr>
                <w:b/>
                <w:bCs/>
                <w:sz w:val="18"/>
                <w:szCs w:val="20"/>
              </w:rPr>
              <w:t>1</w:t>
            </w:r>
            <w:r w:rsidRPr="001F3092">
              <w:rPr>
                <w:b/>
                <w:bCs/>
                <w:sz w:val="18"/>
                <w:szCs w:val="20"/>
                <w:vertAlign w:val="superscript"/>
              </w:rPr>
              <w:t>st</w:t>
            </w:r>
            <w:r>
              <w:rPr>
                <w:b/>
                <w:bCs/>
                <w:sz w:val="18"/>
                <w:szCs w:val="20"/>
              </w:rPr>
              <w:t xml:space="preserve"> April 2017</w:t>
            </w:r>
          </w:p>
        </w:tc>
        <w:tc>
          <w:tcPr>
            <w:tcW w:w="1134"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jc w:val="center"/>
              <w:rPr>
                <w:b/>
                <w:bCs/>
                <w:sz w:val="18"/>
                <w:szCs w:val="20"/>
              </w:rPr>
            </w:pPr>
            <w:r>
              <w:rPr>
                <w:b/>
                <w:bCs/>
                <w:sz w:val="18"/>
                <w:szCs w:val="20"/>
              </w:rPr>
              <w:t>37</w:t>
            </w:r>
          </w:p>
        </w:tc>
      </w:tr>
      <w:tr w:rsidR="00895300" w:rsidRPr="00505452" w:rsidTr="00A91EFA">
        <w:trPr>
          <w:trHeight w:val="77"/>
        </w:trPr>
        <w:tc>
          <w:tcPr>
            <w:tcW w:w="964" w:type="dxa"/>
            <w:gridSpan w:val="2"/>
            <w:vMerge w:val="restart"/>
            <w:tcBorders>
              <w:top w:val="nil"/>
              <w:left w:val="single" w:sz="4" w:space="0" w:color="auto"/>
              <w:bottom w:val="nil"/>
              <w:right w:val="single" w:sz="4" w:space="0" w:color="000000"/>
            </w:tcBorders>
            <w:shd w:val="clear" w:color="000000" w:fill="CCFFFF"/>
            <w:textDirection w:val="btLr"/>
            <w:vAlign w:val="center"/>
            <w:hideMark/>
          </w:tcPr>
          <w:p w:rsidR="00895300" w:rsidRPr="00954094" w:rsidRDefault="00895300" w:rsidP="00A91EFA">
            <w:pPr>
              <w:jc w:val="center"/>
              <w:rPr>
                <w:b/>
                <w:bCs/>
                <w:sz w:val="20"/>
                <w:szCs w:val="20"/>
              </w:rPr>
            </w:pPr>
            <w:r w:rsidRPr="00954094">
              <w:rPr>
                <w:b/>
                <w:bCs/>
                <w:sz w:val="20"/>
                <w:szCs w:val="20"/>
              </w:rPr>
              <w:t>Scale 1</w:t>
            </w:r>
          </w:p>
        </w:tc>
        <w:tc>
          <w:tcPr>
            <w:tcW w:w="964" w:type="dxa"/>
            <w:gridSpan w:val="2"/>
            <w:tcBorders>
              <w:top w:val="single" w:sz="4" w:space="0" w:color="auto"/>
              <w:left w:val="nil"/>
              <w:bottom w:val="single" w:sz="4" w:space="0" w:color="auto"/>
              <w:right w:val="single" w:sz="4" w:space="0" w:color="000000"/>
            </w:tcBorders>
            <w:shd w:val="clear" w:color="000000" w:fill="CC99FF"/>
            <w:vAlign w:val="center"/>
            <w:hideMark/>
          </w:tcPr>
          <w:p w:rsidR="00895300" w:rsidRPr="00954094" w:rsidRDefault="00895300" w:rsidP="00A91EFA">
            <w:pPr>
              <w:jc w:val="center"/>
              <w:rPr>
                <w:b/>
                <w:bCs/>
                <w:sz w:val="20"/>
                <w:szCs w:val="20"/>
              </w:rPr>
            </w:pPr>
            <w:r w:rsidRPr="00954094">
              <w:rPr>
                <w:b/>
                <w:bCs/>
                <w:sz w:val="20"/>
                <w:szCs w:val="20"/>
              </w:rPr>
              <w:t>Band 1</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D1662D" w:rsidRDefault="00895300" w:rsidP="00A91EFA">
            <w:pPr>
              <w:rPr>
                <w:b/>
                <w:bCs/>
                <w:sz w:val="22"/>
                <w:szCs w:val="20"/>
              </w:rPr>
            </w:pPr>
          </w:p>
        </w:tc>
        <w:tc>
          <w:tcPr>
            <w:tcW w:w="1830"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rPr>
                <w:sz w:val="22"/>
                <w:szCs w:val="20"/>
              </w:rPr>
            </w:pPr>
          </w:p>
        </w:tc>
        <w:tc>
          <w:tcPr>
            <w:tcW w:w="1493"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rPr>
                <w:b/>
                <w:bCs/>
                <w:sz w:val="22"/>
                <w:szCs w:val="20"/>
              </w:rPr>
            </w:pPr>
          </w:p>
        </w:tc>
        <w:tc>
          <w:tcPr>
            <w:tcW w:w="1559"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rPr>
                <w:sz w:val="22"/>
                <w:szCs w:val="20"/>
              </w:rPr>
            </w:pPr>
          </w:p>
        </w:tc>
        <w:tc>
          <w:tcPr>
            <w:tcW w:w="1134" w:type="dxa"/>
            <w:tcBorders>
              <w:top w:val="nil"/>
              <w:left w:val="nil"/>
              <w:bottom w:val="single" w:sz="4" w:space="0" w:color="auto"/>
              <w:right w:val="single" w:sz="4" w:space="0" w:color="auto"/>
            </w:tcBorders>
            <w:shd w:val="clear" w:color="auto" w:fill="auto"/>
            <w:vAlign w:val="center"/>
            <w:hideMark/>
          </w:tcPr>
          <w:p w:rsidR="00895300" w:rsidRPr="00D1662D" w:rsidRDefault="00895300" w:rsidP="00A91EFA">
            <w:pPr>
              <w:rPr>
                <w:sz w:val="22"/>
                <w:szCs w:val="20"/>
              </w:rPr>
            </w:pPr>
          </w:p>
        </w:tc>
      </w:tr>
      <w:tr w:rsidR="00895300" w:rsidRPr="00505452" w:rsidTr="00A91EFA">
        <w:trPr>
          <w:cantSplit/>
          <w:trHeight w:val="283"/>
        </w:trPr>
        <w:tc>
          <w:tcPr>
            <w:tcW w:w="964" w:type="dxa"/>
            <w:gridSpan w:val="2"/>
            <w:vMerge/>
            <w:tcBorders>
              <w:top w:val="nil"/>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val="restart"/>
            <w:tcBorders>
              <w:top w:val="single" w:sz="4" w:space="0" w:color="auto"/>
              <w:left w:val="nil"/>
              <w:bottom w:val="single" w:sz="4" w:space="0" w:color="auto"/>
              <w:right w:val="single" w:sz="4" w:space="0" w:color="auto"/>
            </w:tcBorders>
            <w:shd w:val="clear" w:color="000000" w:fill="99CCFF"/>
            <w:textDirection w:val="btLr"/>
            <w:vAlign w:val="center"/>
            <w:hideMark/>
          </w:tcPr>
          <w:p w:rsidR="00895300" w:rsidRPr="00954094" w:rsidRDefault="00895300" w:rsidP="00A91EFA">
            <w:pPr>
              <w:jc w:val="center"/>
              <w:rPr>
                <w:b/>
                <w:bCs/>
                <w:sz w:val="20"/>
                <w:szCs w:val="20"/>
              </w:rPr>
            </w:pPr>
            <w:r w:rsidRPr="00954094">
              <w:rPr>
                <w:b/>
                <w:bCs/>
                <w:sz w:val="20"/>
                <w:szCs w:val="20"/>
              </w:rPr>
              <w:t>Band 2</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6</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£14,514</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£7.52</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£15,014</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£7.78</w:t>
            </w:r>
          </w:p>
        </w:tc>
      </w:tr>
      <w:tr w:rsidR="00895300" w:rsidRPr="00505452" w:rsidTr="00A91EFA">
        <w:trPr>
          <w:cantSplit/>
          <w:trHeight w:val="283"/>
        </w:trPr>
        <w:tc>
          <w:tcPr>
            <w:tcW w:w="964" w:type="dxa"/>
            <w:gridSpan w:val="2"/>
            <w:vMerge/>
            <w:tcBorders>
              <w:top w:val="nil"/>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single" w:sz="4" w:space="0" w:color="auto"/>
              <w:left w:val="nil"/>
              <w:bottom w:val="single" w:sz="4" w:space="0" w:color="auto"/>
              <w:right w:val="single" w:sz="4" w:space="0" w:color="auto"/>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7</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£14,615</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£7.58</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£15,115</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£7.83</w:t>
            </w:r>
          </w:p>
        </w:tc>
      </w:tr>
      <w:tr w:rsidR="00895300" w:rsidRPr="00505452" w:rsidTr="00A91EFA">
        <w:trPr>
          <w:cantSplit/>
          <w:trHeight w:val="283"/>
        </w:trPr>
        <w:tc>
          <w:tcPr>
            <w:tcW w:w="964" w:type="dxa"/>
            <w:gridSpan w:val="2"/>
            <w:vMerge/>
            <w:tcBorders>
              <w:top w:val="nil"/>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val="restart"/>
            <w:tcBorders>
              <w:top w:val="single" w:sz="4" w:space="0" w:color="auto"/>
              <w:left w:val="nil"/>
              <w:bottom w:val="single" w:sz="4" w:space="0" w:color="auto"/>
              <w:right w:val="single" w:sz="4" w:space="0" w:color="auto"/>
            </w:tcBorders>
            <w:shd w:val="clear" w:color="000000" w:fill="CC99FF"/>
            <w:textDirection w:val="btLr"/>
            <w:vAlign w:val="center"/>
            <w:hideMark/>
          </w:tcPr>
          <w:p w:rsidR="00895300" w:rsidRPr="00954094" w:rsidRDefault="00895300" w:rsidP="00A91EFA">
            <w:pPr>
              <w:jc w:val="center"/>
              <w:rPr>
                <w:b/>
                <w:bCs/>
                <w:sz w:val="20"/>
                <w:szCs w:val="20"/>
              </w:rPr>
            </w:pPr>
            <w:r w:rsidRPr="00954094">
              <w:rPr>
                <w:b/>
                <w:bCs/>
                <w:sz w:val="20"/>
                <w:szCs w:val="20"/>
              </w:rPr>
              <w:t>Band 3</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8</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£14,771</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£7.66</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£15,246</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£7.90</w:t>
            </w:r>
          </w:p>
        </w:tc>
      </w:tr>
      <w:tr w:rsidR="00895300" w:rsidRPr="00505452" w:rsidTr="00A91EFA">
        <w:trPr>
          <w:cantSplit/>
          <w:trHeight w:val="283"/>
        </w:trPr>
        <w:tc>
          <w:tcPr>
            <w:tcW w:w="964" w:type="dxa"/>
            <w:gridSpan w:val="2"/>
            <w:vMerge/>
            <w:tcBorders>
              <w:top w:val="nil"/>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single" w:sz="4" w:space="0" w:color="auto"/>
              <w:left w:val="nil"/>
              <w:bottom w:val="single" w:sz="4" w:space="0" w:color="auto"/>
              <w:right w:val="single" w:sz="4" w:space="0" w:color="auto"/>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9</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£14,975</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£7.76</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£15,375</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£7.97</w:t>
            </w:r>
          </w:p>
        </w:tc>
      </w:tr>
      <w:tr w:rsidR="00895300" w:rsidRPr="00505452" w:rsidTr="00A91EFA">
        <w:trPr>
          <w:cantSplit/>
          <w:trHeight w:val="20"/>
        </w:trPr>
        <w:tc>
          <w:tcPr>
            <w:tcW w:w="964" w:type="dxa"/>
            <w:gridSpan w:val="2"/>
            <w:vMerge/>
            <w:tcBorders>
              <w:top w:val="nil"/>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val="restart"/>
            <w:tcBorders>
              <w:top w:val="single" w:sz="4" w:space="0" w:color="auto"/>
              <w:left w:val="nil"/>
              <w:bottom w:val="single" w:sz="4" w:space="0" w:color="auto"/>
              <w:right w:val="single" w:sz="4" w:space="0" w:color="auto"/>
            </w:tcBorders>
            <w:shd w:val="clear" w:color="000000" w:fill="99CCFF"/>
            <w:textDirection w:val="btLr"/>
            <w:vAlign w:val="center"/>
            <w:hideMark/>
          </w:tcPr>
          <w:p w:rsidR="00895300" w:rsidRPr="00954094" w:rsidRDefault="00895300" w:rsidP="00A91EFA">
            <w:pPr>
              <w:jc w:val="center"/>
              <w:rPr>
                <w:b/>
                <w:bCs/>
                <w:sz w:val="20"/>
                <w:szCs w:val="20"/>
              </w:rPr>
            </w:pPr>
            <w:r w:rsidRPr="00954094">
              <w:rPr>
                <w:b/>
                <w:bCs/>
                <w:sz w:val="20"/>
                <w:szCs w:val="20"/>
              </w:rPr>
              <w:t>Band 4</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10</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£15,238</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£7.90</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£15,613</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£8.09</w:t>
            </w:r>
          </w:p>
        </w:tc>
      </w:tr>
      <w:tr w:rsidR="00895300" w:rsidRPr="00505452" w:rsidTr="00A91EFA">
        <w:trPr>
          <w:cantSplit/>
          <w:trHeight w:val="20"/>
        </w:trPr>
        <w:tc>
          <w:tcPr>
            <w:tcW w:w="482" w:type="dxa"/>
            <w:vMerge w:val="restart"/>
            <w:tcBorders>
              <w:top w:val="single" w:sz="4" w:space="0" w:color="auto"/>
              <w:left w:val="single" w:sz="4" w:space="0" w:color="auto"/>
              <w:bottom w:val="single" w:sz="4" w:space="0" w:color="000000"/>
              <w:right w:val="nil"/>
            </w:tcBorders>
            <w:shd w:val="clear" w:color="000000" w:fill="FFFF99"/>
            <w:textDirection w:val="btLr"/>
            <w:vAlign w:val="center"/>
            <w:hideMark/>
          </w:tcPr>
          <w:p w:rsidR="00895300" w:rsidRPr="00954094" w:rsidRDefault="00895300" w:rsidP="00A91EFA">
            <w:pPr>
              <w:jc w:val="center"/>
              <w:rPr>
                <w:b/>
                <w:bCs/>
                <w:sz w:val="20"/>
                <w:szCs w:val="20"/>
              </w:rPr>
            </w:pPr>
            <w:r w:rsidRPr="00954094">
              <w:rPr>
                <w:b/>
                <w:bCs/>
                <w:sz w:val="20"/>
                <w:szCs w:val="20"/>
              </w:rPr>
              <w:t>Scale 2</w:t>
            </w:r>
          </w:p>
        </w:tc>
        <w:tc>
          <w:tcPr>
            <w:tcW w:w="482" w:type="dxa"/>
            <w:tcBorders>
              <w:top w:val="nil"/>
              <w:left w:val="single" w:sz="4" w:space="0" w:color="auto"/>
              <w:bottom w:val="single" w:sz="4" w:space="0" w:color="auto"/>
              <w:right w:val="single" w:sz="4" w:space="0" w:color="auto"/>
            </w:tcBorders>
            <w:shd w:val="clear" w:color="000000" w:fill="CCFFFF"/>
            <w:textDirection w:val="btLr"/>
            <w:vAlign w:val="center"/>
            <w:hideMark/>
          </w:tcPr>
          <w:p w:rsidR="00895300" w:rsidRPr="00954094" w:rsidRDefault="00895300" w:rsidP="00A91EFA">
            <w:pPr>
              <w:jc w:val="center"/>
              <w:rPr>
                <w:b/>
                <w:bCs/>
                <w:sz w:val="20"/>
                <w:szCs w:val="20"/>
              </w:rPr>
            </w:pPr>
          </w:p>
        </w:tc>
        <w:tc>
          <w:tcPr>
            <w:tcW w:w="964" w:type="dxa"/>
            <w:gridSpan w:val="2"/>
            <w:vMerge/>
            <w:tcBorders>
              <w:top w:val="nil"/>
              <w:left w:val="single" w:sz="4" w:space="0" w:color="auto"/>
              <w:bottom w:val="single" w:sz="4" w:space="0" w:color="auto"/>
              <w:right w:val="single" w:sz="4" w:space="0" w:color="auto"/>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11</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£15,507</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£8.04</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£15,807</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£8.19</w:t>
            </w:r>
          </w:p>
        </w:tc>
      </w:tr>
      <w:tr w:rsidR="00895300" w:rsidRPr="00505452" w:rsidTr="00A91EFA">
        <w:trPr>
          <w:cantSplit/>
          <w:trHeight w:val="20"/>
        </w:trPr>
        <w:tc>
          <w:tcPr>
            <w:tcW w:w="482" w:type="dxa"/>
            <w:vMerge/>
            <w:tcBorders>
              <w:top w:val="single" w:sz="4" w:space="0" w:color="auto"/>
              <w:left w:val="single" w:sz="4" w:space="0" w:color="auto"/>
              <w:bottom w:val="single" w:sz="4" w:space="0" w:color="000000"/>
              <w:right w:val="nil"/>
            </w:tcBorders>
            <w:vAlign w:val="center"/>
            <w:hideMark/>
          </w:tcPr>
          <w:p w:rsidR="00895300" w:rsidRPr="00954094" w:rsidRDefault="00895300" w:rsidP="00A91EFA">
            <w:pPr>
              <w:jc w:val="center"/>
              <w:rPr>
                <w:b/>
                <w:bCs/>
                <w:sz w:val="20"/>
                <w:szCs w:val="20"/>
              </w:rPr>
            </w:pPr>
          </w:p>
        </w:tc>
        <w:tc>
          <w:tcPr>
            <w:tcW w:w="482" w:type="dxa"/>
            <w:tcBorders>
              <w:top w:val="nil"/>
              <w:left w:val="nil"/>
              <w:bottom w:val="nil"/>
              <w:right w:val="single" w:sz="4" w:space="0" w:color="auto"/>
            </w:tcBorders>
            <w:shd w:val="clear" w:color="000000" w:fill="FFFF99"/>
            <w:textDirection w:val="btLr"/>
            <w:vAlign w:val="center"/>
            <w:hideMark/>
          </w:tcPr>
          <w:p w:rsidR="00895300" w:rsidRPr="00954094" w:rsidRDefault="00895300" w:rsidP="00A91EFA">
            <w:pPr>
              <w:jc w:val="center"/>
              <w:rPr>
                <w:b/>
                <w:bCs/>
                <w:sz w:val="20"/>
                <w:szCs w:val="20"/>
              </w:rPr>
            </w:pPr>
          </w:p>
        </w:tc>
        <w:tc>
          <w:tcPr>
            <w:tcW w:w="964" w:type="dxa"/>
            <w:gridSpan w:val="2"/>
            <w:vMerge/>
            <w:tcBorders>
              <w:top w:val="nil"/>
              <w:left w:val="nil"/>
              <w:bottom w:val="nil"/>
              <w:right w:val="single" w:sz="4" w:space="0" w:color="auto"/>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12</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£15,823</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£8.20</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£16,123</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£8.36</w:t>
            </w:r>
          </w:p>
        </w:tc>
      </w:tr>
      <w:tr w:rsidR="00895300" w:rsidRPr="00505452" w:rsidTr="00A91EFA">
        <w:trPr>
          <w:cantSplit/>
          <w:trHeight w:val="20"/>
        </w:trPr>
        <w:tc>
          <w:tcPr>
            <w:tcW w:w="482" w:type="dxa"/>
            <w:vMerge/>
            <w:tcBorders>
              <w:top w:val="single" w:sz="4" w:space="0" w:color="auto"/>
              <w:left w:val="single" w:sz="4" w:space="0" w:color="auto"/>
              <w:bottom w:val="single" w:sz="4" w:space="0" w:color="000000"/>
              <w:right w:val="nil"/>
            </w:tcBorders>
            <w:vAlign w:val="center"/>
            <w:hideMark/>
          </w:tcPr>
          <w:p w:rsidR="00895300" w:rsidRPr="00954094" w:rsidRDefault="00895300" w:rsidP="00A91EFA">
            <w:pPr>
              <w:jc w:val="center"/>
              <w:rPr>
                <w:b/>
                <w:bCs/>
                <w:sz w:val="20"/>
                <w:szCs w:val="20"/>
              </w:rPr>
            </w:pPr>
          </w:p>
        </w:tc>
        <w:tc>
          <w:tcPr>
            <w:tcW w:w="482" w:type="dxa"/>
            <w:tcBorders>
              <w:top w:val="nil"/>
              <w:left w:val="nil"/>
              <w:bottom w:val="single" w:sz="4" w:space="0" w:color="auto"/>
              <w:right w:val="single" w:sz="4" w:space="0" w:color="auto"/>
            </w:tcBorders>
            <w:shd w:val="clear" w:color="000000" w:fill="FFFF99"/>
            <w:textDirection w:val="btLr"/>
            <w:vAlign w:val="center"/>
            <w:hideMark/>
          </w:tcPr>
          <w:p w:rsidR="00895300" w:rsidRPr="00954094" w:rsidRDefault="00895300" w:rsidP="00A91EFA">
            <w:pPr>
              <w:jc w:val="center"/>
              <w:rPr>
                <w:b/>
                <w:bCs/>
                <w:sz w:val="20"/>
                <w:szCs w:val="20"/>
              </w:rPr>
            </w:pPr>
          </w:p>
        </w:tc>
        <w:tc>
          <w:tcPr>
            <w:tcW w:w="964" w:type="dxa"/>
            <w:gridSpan w:val="2"/>
            <w:vMerge w:val="restart"/>
            <w:tcBorders>
              <w:top w:val="single" w:sz="4" w:space="0" w:color="auto"/>
              <w:left w:val="single" w:sz="4" w:space="0" w:color="auto"/>
              <w:bottom w:val="nil"/>
              <w:right w:val="single" w:sz="4" w:space="0" w:color="000000"/>
            </w:tcBorders>
            <w:shd w:val="clear" w:color="000000" w:fill="CC99FF"/>
            <w:textDirection w:val="btLr"/>
            <w:vAlign w:val="center"/>
            <w:hideMark/>
          </w:tcPr>
          <w:p w:rsidR="00895300" w:rsidRPr="00954094" w:rsidRDefault="00895300" w:rsidP="00A91EFA">
            <w:pPr>
              <w:jc w:val="center"/>
              <w:rPr>
                <w:b/>
                <w:bCs/>
                <w:sz w:val="20"/>
                <w:szCs w:val="20"/>
              </w:rPr>
            </w:pPr>
            <w:r w:rsidRPr="00954094">
              <w:rPr>
                <w:b/>
                <w:bCs/>
                <w:sz w:val="20"/>
                <w:szCs w:val="20"/>
              </w:rPr>
              <w:t>Band 5</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13</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£16,191</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£8.39</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£16,491</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£8.55</w:t>
            </w:r>
          </w:p>
        </w:tc>
      </w:tr>
      <w:tr w:rsidR="00895300" w:rsidRPr="00505452" w:rsidTr="00895300">
        <w:trPr>
          <w:cantSplit/>
          <w:trHeight w:val="239"/>
        </w:trPr>
        <w:tc>
          <w:tcPr>
            <w:tcW w:w="964" w:type="dxa"/>
            <w:gridSpan w:val="2"/>
            <w:vMerge w:val="restart"/>
            <w:tcBorders>
              <w:top w:val="nil"/>
              <w:left w:val="single" w:sz="4" w:space="0" w:color="auto"/>
              <w:bottom w:val="single" w:sz="4" w:space="0" w:color="000000"/>
              <w:right w:val="single" w:sz="4" w:space="0" w:color="000000"/>
            </w:tcBorders>
            <w:shd w:val="clear" w:color="000000" w:fill="CCFFFF"/>
            <w:textDirection w:val="btLr"/>
            <w:vAlign w:val="center"/>
            <w:hideMark/>
          </w:tcPr>
          <w:p w:rsidR="00895300" w:rsidRPr="00954094" w:rsidRDefault="00895300" w:rsidP="00A91EFA">
            <w:pPr>
              <w:jc w:val="center"/>
              <w:rPr>
                <w:b/>
                <w:bCs/>
                <w:sz w:val="20"/>
                <w:szCs w:val="20"/>
              </w:rPr>
            </w:pPr>
            <w:r w:rsidRPr="00954094">
              <w:rPr>
                <w:b/>
                <w:bCs/>
                <w:sz w:val="20"/>
                <w:szCs w:val="20"/>
              </w:rPr>
              <w:t>Scale 3</w:t>
            </w:r>
          </w:p>
        </w:tc>
        <w:tc>
          <w:tcPr>
            <w:tcW w:w="964" w:type="dxa"/>
            <w:gridSpan w:val="2"/>
            <w:vMerge/>
            <w:tcBorders>
              <w:top w:val="single" w:sz="4" w:space="0" w:color="auto"/>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14</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£16,481</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£8.54</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£16,781</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£8.70</w:t>
            </w:r>
          </w:p>
        </w:tc>
      </w:tr>
      <w:tr w:rsidR="00895300" w:rsidRPr="00505452" w:rsidTr="00A91EFA">
        <w:trPr>
          <w:cantSplit/>
          <w:trHeight w:val="20"/>
        </w:trPr>
        <w:tc>
          <w:tcPr>
            <w:tcW w:w="964" w:type="dxa"/>
            <w:gridSpan w:val="2"/>
            <w:vMerge/>
            <w:tcBorders>
              <w:top w:val="nil"/>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single" w:sz="4" w:space="0" w:color="auto"/>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15</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£16,772</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£8.69</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£17,072</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£8.85</w:t>
            </w:r>
          </w:p>
        </w:tc>
      </w:tr>
      <w:tr w:rsidR="00895300" w:rsidRPr="00505452" w:rsidTr="00A91EFA">
        <w:trPr>
          <w:cantSplit/>
          <w:trHeight w:val="20"/>
        </w:trPr>
        <w:tc>
          <w:tcPr>
            <w:tcW w:w="964" w:type="dxa"/>
            <w:gridSpan w:val="2"/>
            <w:vMerge/>
            <w:tcBorders>
              <w:top w:val="nil"/>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single" w:sz="4" w:space="0" w:color="auto"/>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16</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£17,169</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£8.90</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£17,419</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£9.03</w:t>
            </w:r>
          </w:p>
        </w:tc>
      </w:tr>
      <w:tr w:rsidR="00895300" w:rsidRPr="00505452" w:rsidTr="00A91EFA">
        <w:trPr>
          <w:cantSplit/>
          <w:trHeight w:val="165"/>
        </w:trPr>
        <w:tc>
          <w:tcPr>
            <w:tcW w:w="964" w:type="dxa"/>
            <w:gridSpan w:val="2"/>
            <w:vMerge/>
            <w:tcBorders>
              <w:top w:val="nil"/>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482" w:type="dxa"/>
            <w:tcBorders>
              <w:top w:val="nil"/>
              <w:left w:val="nil"/>
              <w:bottom w:val="single" w:sz="4" w:space="0" w:color="auto"/>
              <w:right w:val="single" w:sz="4" w:space="0" w:color="auto"/>
            </w:tcBorders>
            <w:shd w:val="clear" w:color="000000" w:fill="CC99FF"/>
            <w:textDirection w:val="btLr"/>
            <w:vAlign w:val="center"/>
            <w:hideMark/>
          </w:tcPr>
          <w:p w:rsidR="00895300" w:rsidRPr="00954094" w:rsidRDefault="00895300" w:rsidP="00A91EFA">
            <w:pPr>
              <w:jc w:val="center"/>
              <w:rPr>
                <w:b/>
                <w:bCs/>
                <w:sz w:val="20"/>
                <w:szCs w:val="20"/>
              </w:rPr>
            </w:pPr>
          </w:p>
        </w:tc>
        <w:tc>
          <w:tcPr>
            <w:tcW w:w="482" w:type="dxa"/>
            <w:tcBorders>
              <w:top w:val="single" w:sz="4" w:space="0" w:color="auto"/>
              <w:left w:val="nil"/>
              <w:bottom w:val="nil"/>
              <w:right w:val="single" w:sz="4" w:space="0" w:color="auto"/>
            </w:tcBorders>
            <w:shd w:val="clear" w:color="000000" w:fill="99CCFF"/>
            <w:textDirection w:val="btLr"/>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17</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£17,547</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£9.10</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DC7E81">
              <w:rPr>
                <w:b/>
                <w:bCs/>
                <w:sz w:val="20"/>
                <w:szCs w:val="20"/>
              </w:rPr>
              <w:t>£</w:t>
            </w:r>
            <w:r>
              <w:rPr>
                <w:b/>
                <w:bCs/>
                <w:sz w:val="20"/>
                <w:szCs w:val="20"/>
              </w:rPr>
              <w:t>17,772</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£9.21</w:t>
            </w:r>
          </w:p>
        </w:tc>
      </w:tr>
      <w:tr w:rsidR="00895300" w:rsidRPr="00505452" w:rsidTr="00A91EFA">
        <w:trPr>
          <w:cantSplit/>
          <w:trHeight w:val="20"/>
        </w:trPr>
        <w:tc>
          <w:tcPr>
            <w:tcW w:w="964" w:type="dxa"/>
            <w:gridSpan w:val="2"/>
            <w:vMerge w:val="restart"/>
            <w:tcBorders>
              <w:top w:val="single" w:sz="4" w:space="0" w:color="auto"/>
              <w:left w:val="single" w:sz="4" w:space="0" w:color="auto"/>
              <w:bottom w:val="single" w:sz="4" w:space="0" w:color="000000"/>
              <w:right w:val="single" w:sz="4" w:space="0" w:color="000000"/>
            </w:tcBorders>
            <w:shd w:val="clear" w:color="000000" w:fill="FFFF99"/>
            <w:textDirection w:val="btLr"/>
            <w:vAlign w:val="center"/>
            <w:hideMark/>
          </w:tcPr>
          <w:p w:rsidR="00895300" w:rsidRPr="00954094" w:rsidRDefault="00895300" w:rsidP="00A91EFA">
            <w:pPr>
              <w:jc w:val="center"/>
              <w:rPr>
                <w:b/>
                <w:bCs/>
                <w:sz w:val="20"/>
                <w:szCs w:val="20"/>
              </w:rPr>
            </w:pPr>
            <w:r w:rsidRPr="00954094">
              <w:rPr>
                <w:b/>
                <w:bCs/>
                <w:sz w:val="20"/>
                <w:szCs w:val="20"/>
              </w:rPr>
              <w:t>Scale 4</w:t>
            </w:r>
          </w:p>
        </w:tc>
        <w:tc>
          <w:tcPr>
            <w:tcW w:w="964" w:type="dxa"/>
            <w:gridSpan w:val="2"/>
            <w:vMerge w:val="restart"/>
            <w:tcBorders>
              <w:top w:val="nil"/>
              <w:left w:val="nil"/>
              <w:bottom w:val="nil"/>
              <w:right w:val="single" w:sz="4" w:space="0" w:color="000000"/>
            </w:tcBorders>
            <w:shd w:val="clear" w:color="000000" w:fill="99CCFF"/>
            <w:textDirection w:val="btLr"/>
            <w:vAlign w:val="center"/>
            <w:hideMark/>
          </w:tcPr>
          <w:p w:rsidR="00895300" w:rsidRPr="00954094" w:rsidRDefault="00895300" w:rsidP="00A91EFA">
            <w:pPr>
              <w:jc w:val="center"/>
              <w:rPr>
                <w:b/>
                <w:bCs/>
                <w:sz w:val="20"/>
                <w:szCs w:val="20"/>
              </w:rPr>
            </w:pPr>
            <w:r w:rsidRPr="00954094">
              <w:rPr>
                <w:b/>
                <w:bCs/>
                <w:sz w:val="20"/>
                <w:szCs w:val="20"/>
              </w:rPr>
              <w:t>Band 6</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18</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£17,891</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£9.27</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£18,070</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£9.37</w:t>
            </w:r>
          </w:p>
        </w:tc>
      </w:tr>
      <w:tr w:rsidR="00895300" w:rsidRPr="00505452" w:rsidTr="00A91EFA">
        <w:trPr>
          <w:cantSplit/>
          <w:trHeight w:val="20"/>
        </w:trPr>
        <w:tc>
          <w:tcPr>
            <w:tcW w:w="964" w:type="dxa"/>
            <w:gridSpan w:val="2"/>
            <w:vMerge/>
            <w:tcBorders>
              <w:top w:val="single" w:sz="4" w:space="0" w:color="auto"/>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nil"/>
              <w:left w:val="nil"/>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19</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£18,560</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£9.62</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£18,746</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£9.72</w:t>
            </w:r>
          </w:p>
        </w:tc>
      </w:tr>
      <w:tr w:rsidR="00895300" w:rsidRPr="00505452" w:rsidTr="00A91EFA">
        <w:trPr>
          <w:cantSplit/>
          <w:trHeight w:val="20"/>
        </w:trPr>
        <w:tc>
          <w:tcPr>
            <w:tcW w:w="964" w:type="dxa"/>
            <w:gridSpan w:val="2"/>
            <w:vMerge/>
            <w:tcBorders>
              <w:top w:val="single" w:sz="4" w:space="0" w:color="auto"/>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nil"/>
              <w:left w:val="nil"/>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20</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£19,238</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£9.97</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£19,430</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£10.07</w:t>
            </w:r>
          </w:p>
        </w:tc>
      </w:tr>
      <w:tr w:rsidR="00895300" w:rsidRPr="00505452" w:rsidTr="00A91EFA">
        <w:trPr>
          <w:cantSplit/>
          <w:trHeight w:val="20"/>
        </w:trPr>
        <w:tc>
          <w:tcPr>
            <w:tcW w:w="964" w:type="dxa"/>
            <w:gridSpan w:val="2"/>
            <w:vMerge/>
            <w:tcBorders>
              <w:top w:val="single" w:sz="4" w:space="0" w:color="auto"/>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482" w:type="dxa"/>
            <w:tcBorders>
              <w:top w:val="single" w:sz="4" w:space="0" w:color="auto"/>
              <w:left w:val="nil"/>
              <w:bottom w:val="nil"/>
              <w:right w:val="nil"/>
            </w:tcBorders>
            <w:shd w:val="clear" w:color="000000" w:fill="CC99FF"/>
            <w:textDirection w:val="btLr"/>
            <w:vAlign w:val="center"/>
            <w:hideMark/>
          </w:tcPr>
          <w:p w:rsidR="00895300" w:rsidRPr="00954094" w:rsidRDefault="00895300" w:rsidP="00A91EFA">
            <w:pPr>
              <w:jc w:val="center"/>
              <w:rPr>
                <w:b/>
                <w:bCs/>
                <w:sz w:val="20"/>
                <w:szCs w:val="20"/>
              </w:rPr>
            </w:pPr>
          </w:p>
        </w:tc>
        <w:tc>
          <w:tcPr>
            <w:tcW w:w="482" w:type="dxa"/>
            <w:tcBorders>
              <w:top w:val="nil"/>
              <w:left w:val="single" w:sz="4" w:space="0" w:color="auto"/>
              <w:bottom w:val="single" w:sz="4" w:space="0" w:color="auto"/>
              <w:right w:val="single" w:sz="4" w:space="0" w:color="auto"/>
            </w:tcBorders>
            <w:shd w:val="clear" w:color="000000" w:fill="99CCFF"/>
            <w:textDirection w:val="btLr"/>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21</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£19,939</w:t>
            </w:r>
          </w:p>
        </w:tc>
        <w:tc>
          <w:tcPr>
            <w:tcW w:w="1493" w:type="dxa"/>
            <w:tcBorders>
              <w:top w:val="nil"/>
              <w:left w:val="nil"/>
              <w:bottom w:val="single" w:sz="4" w:space="0" w:color="auto"/>
              <w:right w:val="single" w:sz="4" w:space="0" w:color="auto"/>
            </w:tcBorders>
            <w:shd w:val="clear" w:color="auto" w:fill="auto"/>
            <w:vAlign w:val="center"/>
          </w:tcPr>
          <w:p w:rsidR="00895300" w:rsidRPr="00954094" w:rsidRDefault="00895300" w:rsidP="00895300">
            <w:pPr>
              <w:jc w:val="center"/>
              <w:rPr>
                <w:b/>
                <w:bCs/>
                <w:sz w:val="20"/>
                <w:szCs w:val="20"/>
              </w:rPr>
            </w:pPr>
            <w:r>
              <w:rPr>
                <w:b/>
                <w:bCs/>
                <w:sz w:val="20"/>
                <w:szCs w:val="20"/>
              </w:rPr>
              <w:t>£10.34</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£20,138</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£10.44</w:t>
            </w:r>
          </w:p>
        </w:tc>
      </w:tr>
      <w:tr w:rsidR="00895300" w:rsidRPr="00505452" w:rsidTr="00A91EFA">
        <w:trPr>
          <w:cantSplit/>
          <w:trHeight w:val="20"/>
        </w:trPr>
        <w:tc>
          <w:tcPr>
            <w:tcW w:w="964" w:type="dxa"/>
            <w:gridSpan w:val="2"/>
            <w:vMerge w:val="restart"/>
            <w:tcBorders>
              <w:top w:val="nil"/>
              <w:left w:val="single" w:sz="4" w:space="0" w:color="auto"/>
              <w:bottom w:val="single" w:sz="4" w:space="0" w:color="000000"/>
              <w:right w:val="single" w:sz="4" w:space="0" w:color="000000"/>
            </w:tcBorders>
            <w:shd w:val="clear" w:color="000000" w:fill="CCFFFF"/>
            <w:textDirection w:val="btLr"/>
            <w:vAlign w:val="center"/>
            <w:hideMark/>
          </w:tcPr>
          <w:p w:rsidR="00895300" w:rsidRPr="00954094" w:rsidRDefault="00895300" w:rsidP="00A91EFA">
            <w:pPr>
              <w:jc w:val="center"/>
              <w:rPr>
                <w:b/>
                <w:bCs/>
                <w:sz w:val="20"/>
                <w:szCs w:val="20"/>
              </w:rPr>
            </w:pPr>
            <w:r w:rsidRPr="00954094">
              <w:rPr>
                <w:b/>
                <w:bCs/>
                <w:sz w:val="20"/>
                <w:szCs w:val="20"/>
              </w:rPr>
              <w:t>Scale 5</w:t>
            </w:r>
          </w:p>
        </w:tc>
        <w:tc>
          <w:tcPr>
            <w:tcW w:w="964" w:type="dxa"/>
            <w:gridSpan w:val="2"/>
            <w:vMerge w:val="restart"/>
            <w:tcBorders>
              <w:top w:val="nil"/>
              <w:left w:val="nil"/>
              <w:bottom w:val="nil"/>
              <w:right w:val="single" w:sz="4" w:space="0" w:color="000000"/>
            </w:tcBorders>
            <w:shd w:val="clear" w:color="000000" w:fill="CC99FF"/>
            <w:textDirection w:val="btLr"/>
            <w:vAlign w:val="center"/>
            <w:hideMark/>
          </w:tcPr>
          <w:p w:rsidR="00895300" w:rsidRPr="00954094" w:rsidRDefault="00895300" w:rsidP="00A91EFA">
            <w:pPr>
              <w:jc w:val="center"/>
              <w:rPr>
                <w:b/>
                <w:bCs/>
                <w:sz w:val="20"/>
                <w:szCs w:val="20"/>
              </w:rPr>
            </w:pPr>
            <w:r w:rsidRPr="00954094">
              <w:rPr>
                <w:b/>
                <w:bCs/>
                <w:sz w:val="20"/>
                <w:szCs w:val="20"/>
              </w:rPr>
              <w:t>Band 7</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22</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£20,456</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£10.60</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£20,661</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£10.71</w:t>
            </w:r>
          </w:p>
        </w:tc>
      </w:tr>
      <w:tr w:rsidR="00895300" w:rsidRPr="00505452" w:rsidTr="00A91EFA">
        <w:trPr>
          <w:cantSplit/>
          <w:trHeight w:val="20"/>
        </w:trPr>
        <w:tc>
          <w:tcPr>
            <w:tcW w:w="964" w:type="dxa"/>
            <w:gridSpan w:val="2"/>
            <w:vMerge/>
            <w:tcBorders>
              <w:top w:val="nil"/>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nil"/>
              <w:left w:val="nil"/>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23</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£21,057</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£10.91</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£21,268</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£11.02</w:t>
            </w:r>
          </w:p>
        </w:tc>
      </w:tr>
      <w:tr w:rsidR="00895300" w:rsidRPr="00505452" w:rsidTr="00A91EFA">
        <w:trPr>
          <w:cantSplit/>
          <w:trHeight w:val="20"/>
        </w:trPr>
        <w:tc>
          <w:tcPr>
            <w:tcW w:w="964" w:type="dxa"/>
            <w:gridSpan w:val="2"/>
            <w:vMerge/>
            <w:tcBorders>
              <w:top w:val="nil"/>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nil"/>
              <w:left w:val="nil"/>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24</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£21,745</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£11.27</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£21,962</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£11.38</w:t>
            </w:r>
          </w:p>
        </w:tc>
      </w:tr>
      <w:tr w:rsidR="00895300" w:rsidRPr="00505452" w:rsidTr="00A91EFA">
        <w:trPr>
          <w:cantSplit/>
          <w:trHeight w:val="20"/>
        </w:trPr>
        <w:tc>
          <w:tcPr>
            <w:tcW w:w="964" w:type="dxa"/>
            <w:gridSpan w:val="2"/>
            <w:vMerge/>
            <w:tcBorders>
              <w:top w:val="nil"/>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482" w:type="dxa"/>
            <w:tcBorders>
              <w:top w:val="nil"/>
              <w:left w:val="nil"/>
              <w:bottom w:val="single" w:sz="4" w:space="0" w:color="auto"/>
              <w:right w:val="single" w:sz="4" w:space="0" w:color="auto"/>
            </w:tcBorders>
            <w:shd w:val="clear" w:color="000000" w:fill="CC99FF"/>
            <w:textDirection w:val="btLr"/>
            <w:vAlign w:val="center"/>
            <w:hideMark/>
          </w:tcPr>
          <w:p w:rsidR="00895300" w:rsidRPr="00954094" w:rsidRDefault="00895300" w:rsidP="00A91EFA">
            <w:pPr>
              <w:jc w:val="center"/>
              <w:rPr>
                <w:b/>
                <w:bCs/>
                <w:sz w:val="20"/>
                <w:szCs w:val="20"/>
              </w:rPr>
            </w:pPr>
          </w:p>
        </w:tc>
        <w:tc>
          <w:tcPr>
            <w:tcW w:w="482" w:type="dxa"/>
            <w:tcBorders>
              <w:top w:val="single" w:sz="4" w:space="0" w:color="auto"/>
              <w:left w:val="nil"/>
              <w:bottom w:val="nil"/>
              <w:right w:val="single" w:sz="4" w:space="0" w:color="auto"/>
            </w:tcBorders>
            <w:shd w:val="clear" w:color="000000" w:fill="99CCFF"/>
            <w:textDirection w:val="btLr"/>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25</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£22,434</w:t>
            </w:r>
          </w:p>
        </w:tc>
        <w:tc>
          <w:tcPr>
            <w:tcW w:w="1493" w:type="dxa"/>
            <w:tcBorders>
              <w:top w:val="nil"/>
              <w:left w:val="nil"/>
              <w:bottom w:val="single" w:sz="4" w:space="0" w:color="auto"/>
              <w:right w:val="single" w:sz="4" w:space="0" w:color="auto"/>
            </w:tcBorders>
            <w:shd w:val="clear" w:color="auto" w:fill="auto"/>
            <w:vAlign w:val="center"/>
          </w:tcPr>
          <w:p w:rsidR="00895300" w:rsidRPr="00954094" w:rsidRDefault="00895300" w:rsidP="00895300">
            <w:pPr>
              <w:jc w:val="center"/>
              <w:rPr>
                <w:b/>
                <w:bCs/>
                <w:sz w:val="20"/>
                <w:szCs w:val="20"/>
              </w:rPr>
            </w:pPr>
            <w:r>
              <w:rPr>
                <w:b/>
                <w:bCs/>
                <w:sz w:val="20"/>
                <w:szCs w:val="20"/>
              </w:rPr>
              <w:t>£11.63</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£22,658</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£11.74</w:t>
            </w:r>
          </w:p>
        </w:tc>
      </w:tr>
      <w:tr w:rsidR="00895300" w:rsidRPr="00505452" w:rsidTr="00A91EFA">
        <w:trPr>
          <w:cantSplit/>
          <w:trHeight w:val="20"/>
        </w:trPr>
        <w:tc>
          <w:tcPr>
            <w:tcW w:w="964" w:type="dxa"/>
            <w:gridSpan w:val="2"/>
            <w:vMerge w:val="restart"/>
            <w:tcBorders>
              <w:top w:val="single" w:sz="4" w:space="0" w:color="auto"/>
              <w:left w:val="single" w:sz="4" w:space="0" w:color="auto"/>
              <w:bottom w:val="single" w:sz="4" w:space="0" w:color="000000"/>
              <w:right w:val="single" w:sz="4" w:space="0" w:color="000000"/>
            </w:tcBorders>
            <w:shd w:val="clear" w:color="000000" w:fill="FFFF99"/>
            <w:textDirection w:val="btLr"/>
            <w:vAlign w:val="center"/>
            <w:hideMark/>
          </w:tcPr>
          <w:p w:rsidR="00895300" w:rsidRPr="00954094" w:rsidRDefault="00895300" w:rsidP="00A91EFA">
            <w:pPr>
              <w:jc w:val="center"/>
              <w:rPr>
                <w:b/>
                <w:bCs/>
                <w:sz w:val="20"/>
                <w:szCs w:val="20"/>
              </w:rPr>
            </w:pPr>
            <w:r w:rsidRPr="00954094">
              <w:rPr>
                <w:b/>
                <w:bCs/>
                <w:sz w:val="20"/>
                <w:szCs w:val="20"/>
              </w:rPr>
              <w:t>Scale 6</w:t>
            </w:r>
          </w:p>
        </w:tc>
        <w:tc>
          <w:tcPr>
            <w:tcW w:w="964" w:type="dxa"/>
            <w:gridSpan w:val="2"/>
            <w:vMerge w:val="restart"/>
            <w:tcBorders>
              <w:top w:val="nil"/>
              <w:left w:val="nil"/>
              <w:bottom w:val="single" w:sz="4" w:space="0" w:color="000000"/>
              <w:right w:val="single" w:sz="4" w:space="0" w:color="000000"/>
            </w:tcBorders>
            <w:shd w:val="clear" w:color="000000" w:fill="99CCFF"/>
            <w:textDirection w:val="btLr"/>
            <w:vAlign w:val="center"/>
            <w:hideMark/>
          </w:tcPr>
          <w:p w:rsidR="00895300" w:rsidRPr="00954094" w:rsidRDefault="00895300" w:rsidP="00A91EFA">
            <w:pPr>
              <w:jc w:val="center"/>
              <w:rPr>
                <w:b/>
                <w:bCs/>
                <w:sz w:val="20"/>
                <w:szCs w:val="20"/>
              </w:rPr>
            </w:pPr>
            <w:r w:rsidRPr="00954094">
              <w:rPr>
                <w:b/>
                <w:bCs/>
                <w:sz w:val="20"/>
                <w:szCs w:val="20"/>
              </w:rPr>
              <w:t>Band 8</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26</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£23,166</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£12.01</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£23,398</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£12.13</w:t>
            </w:r>
          </w:p>
        </w:tc>
      </w:tr>
      <w:tr w:rsidR="00895300" w:rsidRPr="00505452" w:rsidTr="00A91EFA">
        <w:trPr>
          <w:cantSplit/>
          <w:trHeight w:val="20"/>
        </w:trPr>
        <w:tc>
          <w:tcPr>
            <w:tcW w:w="964" w:type="dxa"/>
            <w:gridSpan w:val="2"/>
            <w:vMerge/>
            <w:tcBorders>
              <w:top w:val="single" w:sz="4" w:space="0" w:color="auto"/>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nil"/>
              <w:left w:val="nil"/>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27</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£23,935</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£12.41</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£24,174</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£12.53</w:t>
            </w:r>
          </w:p>
        </w:tc>
      </w:tr>
      <w:tr w:rsidR="00895300" w:rsidRPr="00505452" w:rsidTr="00A91EFA">
        <w:trPr>
          <w:cantSplit/>
          <w:trHeight w:val="20"/>
        </w:trPr>
        <w:tc>
          <w:tcPr>
            <w:tcW w:w="964" w:type="dxa"/>
            <w:gridSpan w:val="2"/>
            <w:vMerge/>
            <w:tcBorders>
              <w:top w:val="single" w:sz="4" w:space="0" w:color="auto"/>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nil"/>
              <w:left w:val="nil"/>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28</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£24,717</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£12.81</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£24,964</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£12.94</w:t>
            </w:r>
          </w:p>
        </w:tc>
      </w:tr>
      <w:tr w:rsidR="00895300" w:rsidRPr="00505452" w:rsidTr="00A91EFA">
        <w:trPr>
          <w:cantSplit/>
          <w:trHeight w:val="20"/>
        </w:trPr>
        <w:tc>
          <w:tcPr>
            <w:tcW w:w="1928" w:type="dxa"/>
            <w:gridSpan w:val="4"/>
            <w:vMerge w:val="restart"/>
            <w:tcBorders>
              <w:top w:val="single" w:sz="4" w:space="0" w:color="auto"/>
              <w:left w:val="single" w:sz="4" w:space="0" w:color="auto"/>
              <w:bottom w:val="nil"/>
              <w:right w:val="single" w:sz="4" w:space="0" w:color="000000"/>
            </w:tcBorders>
            <w:shd w:val="clear" w:color="000000" w:fill="CCFFFF"/>
            <w:textDirection w:val="btLr"/>
            <w:vAlign w:val="center"/>
            <w:hideMark/>
          </w:tcPr>
          <w:p w:rsidR="00895300" w:rsidRPr="00954094" w:rsidRDefault="00895300" w:rsidP="00A91EFA">
            <w:pPr>
              <w:jc w:val="center"/>
              <w:rPr>
                <w:b/>
                <w:bCs/>
                <w:sz w:val="20"/>
                <w:szCs w:val="20"/>
              </w:rPr>
            </w:pPr>
            <w:r w:rsidRPr="00954094">
              <w:rPr>
                <w:b/>
                <w:bCs/>
                <w:sz w:val="20"/>
                <w:szCs w:val="20"/>
              </w:rPr>
              <w:t>SO1</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29</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£25,694</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£13.32</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£25,951</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£13.45</w:t>
            </w:r>
          </w:p>
        </w:tc>
      </w:tr>
      <w:tr w:rsidR="00895300" w:rsidRPr="00505452" w:rsidTr="00A91EFA">
        <w:trPr>
          <w:cantSplit/>
          <w:trHeight w:val="20"/>
        </w:trPr>
        <w:tc>
          <w:tcPr>
            <w:tcW w:w="1928" w:type="dxa"/>
            <w:gridSpan w:val="4"/>
            <w:vMerge/>
            <w:tcBorders>
              <w:top w:val="single" w:sz="4" w:space="0" w:color="auto"/>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30</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£26,556</w:t>
            </w:r>
          </w:p>
        </w:tc>
        <w:tc>
          <w:tcPr>
            <w:tcW w:w="1493" w:type="dxa"/>
            <w:tcBorders>
              <w:top w:val="nil"/>
              <w:left w:val="nil"/>
              <w:bottom w:val="single" w:sz="4" w:space="0" w:color="auto"/>
              <w:right w:val="single" w:sz="4" w:space="0" w:color="auto"/>
            </w:tcBorders>
            <w:shd w:val="clear" w:color="auto" w:fill="auto"/>
            <w:vAlign w:val="center"/>
          </w:tcPr>
          <w:p w:rsidR="00895300" w:rsidRPr="00954094" w:rsidRDefault="00895300" w:rsidP="00895300">
            <w:pPr>
              <w:jc w:val="center"/>
              <w:rPr>
                <w:b/>
                <w:bCs/>
                <w:sz w:val="20"/>
                <w:szCs w:val="20"/>
              </w:rPr>
            </w:pPr>
            <w:r>
              <w:rPr>
                <w:b/>
                <w:bCs/>
                <w:sz w:val="20"/>
                <w:szCs w:val="20"/>
              </w:rPr>
              <w:t>£13.76</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£26,822</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£13.90</w:t>
            </w:r>
          </w:p>
        </w:tc>
      </w:tr>
      <w:tr w:rsidR="00895300" w:rsidRPr="00505452" w:rsidTr="00A91EFA">
        <w:trPr>
          <w:cantSplit/>
          <w:trHeight w:val="20"/>
        </w:trPr>
        <w:tc>
          <w:tcPr>
            <w:tcW w:w="1928" w:type="dxa"/>
            <w:gridSpan w:val="4"/>
            <w:vMerge/>
            <w:tcBorders>
              <w:top w:val="single" w:sz="4" w:space="0" w:color="auto"/>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31</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£27,394</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£14.20</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£27,668</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£14.34</w:t>
            </w:r>
          </w:p>
        </w:tc>
      </w:tr>
      <w:tr w:rsidR="00895300" w:rsidRPr="00505452" w:rsidTr="00A91EFA">
        <w:trPr>
          <w:cantSplit/>
          <w:trHeight w:val="20"/>
        </w:trPr>
        <w:tc>
          <w:tcPr>
            <w:tcW w:w="964" w:type="dxa"/>
            <w:gridSpan w:val="2"/>
            <w:vMerge w:val="restart"/>
            <w:tcBorders>
              <w:top w:val="single" w:sz="4" w:space="0" w:color="auto"/>
              <w:left w:val="single" w:sz="4" w:space="0" w:color="auto"/>
              <w:bottom w:val="nil"/>
            </w:tcBorders>
            <w:shd w:val="clear" w:color="000000" w:fill="FFFF99"/>
            <w:textDirection w:val="btLr"/>
            <w:vAlign w:val="center"/>
            <w:hideMark/>
          </w:tcPr>
          <w:p w:rsidR="00895300" w:rsidRPr="00954094" w:rsidRDefault="00895300" w:rsidP="00A91EFA">
            <w:pPr>
              <w:jc w:val="center"/>
              <w:rPr>
                <w:b/>
                <w:bCs/>
                <w:sz w:val="20"/>
                <w:szCs w:val="20"/>
              </w:rPr>
            </w:pPr>
            <w:r w:rsidRPr="00954094">
              <w:rPr>
                <w:b/>
                <w:bCs/>
                <w:sz w:val="20"/>
                <w:szCs w:val="20"/>
              </w:rPr>
              <w:t>SO2</w:t>
            </w:r>
          </w:p>
        </w:tc>
        <w:tc>
          <w:tcPr>
            <w:tcW w:w="964" w:type="dxa"/>
            <w:gridSpan w:val="2"/>
            <w:tcBorders>
              <w:top w:val="single" w:sz="4" w:space="0" w:color="auto"/>
              <w:bottom w:val="single" w:sz="4" w:space="0" w:color="auto"/>
              <w:right w:val="single" w:sz="4" w:space="0" w:color="000000"/>
            </w:tcBorders>
            <w:shd w:val="clear" w:color="000000" w:fill="FFFF99"/>
            <w:textDirection w:val="btLr"/>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32</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£28,203</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£14.62</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£28,485</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£14.76</w:t>
            </w:r>
          </w:p>
        </w:tc>
      </w:tr>
      <w:tr w:rsidR="00895300" w:rsidRPr="00505452" w:rsidTr="00A91EFA">
        <w:trPr>
          <w:cantSplit/>
          <w:trHeight w:val="20"/>
        </w:trPr>
        <w:tc>
          <w:tcPr>
            <w:tcW w:w="964" w:type="dxa"/>
            <w:gridSpan w:val="2"/>
            <w:vMerge/>
            <w:tcBorders>
              <w:top w:val="single" w:sz="4" w:space="0" w:color="auto"/>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val="restart"/>
            <w:tcBorders>
              <w:top w:val="nil"/>
              <w:left w:val="single" w:sz="4" w:space="0" w:color="auto"/>
              <w:bottom w:val="nil"/>
              <w:right w:val="single" w:sz="4" w:space="0" w:color="000000"/>
            </w:tcBorders>
            <w:shd w:val="clear" w:color="000000" w:fill="CCFFCC"/>
            <w:textDirection w:val="btLr"/>
            <w:vAlign w:val="center"/>
            <w:hideMark/>
          </w:tcPr>
          <w:p w:rsidR="00895300" w:rsidRPr="00954094" w:rsidRDefault="00895300" w:rsidP="00A91EFA">
            <w:pPr>
              <w:jc w:val="center"/>
              <w:rPr>
                <w:b/>
                <w:bCs/>
                <w:sz w:val="20"/>
                <w:szCs w:val="20"/>
              </w:rPr>
            </w:pPr>
            <w:r w:rsidRPr="00954094">
              <w:rPr>
                <w:b/>
                <w:bCs/>
                <w:sz w:val="20"/>
                <w:szCs w:val="20"/>
              </w:rPr>
              <w:t>PO1</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33</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£29,033</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£15.05</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£29,323</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£15.20</w:t>
            </w:r>
          </w:p>
        </w:tc>
      </w:tr>
      <w:tr w:rsidR="00895300" w:rsidRPr="00505452" w:rsidTr="00A91EFA">
        <w:trPr>
          <w:cantSplit/>
          <w:trHeight w:val="20"/>
        </w:trPr>
        <w:tc>
          <w:tcPr>
            <w:tcW w:w="964" w:type="dxa"/>
            <w:gridSpan w:val="2"/>
            <w:vMerge/>
            <w:tcBorders>
              <w:top w:val="single" w:sz="4" w:space="0" w:color="auto"/>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nil"/>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34</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£29,854</w:t>
            </w:r>
          </w:p>
        </w:tc>
        <w:tc>
          <w:tcPr>
            <w:tcW w:w="1493" w:type="dxa"/>
            <w:tcBorders>
              <w:top w:val="nil"/>
              <w:left w:val="nil"/>
              <w:bottom w:val="single" w:sz="4" w:space="0" w:color="auto"/>
              <w:right w:val="single" w:sz="4" w:space="0" w:color="auto"/>
            </w:tcBorders>
            <w:shd w:val="clear" w:color="auto" w:fill="auto"/>
            <w:vAlign w:val="center"/>
          </w:tcPr>
          <w:p w:rsidR="00895300" w:rsidRPr="00954094" w:rsidRDefault="00895300" w:rsidP="00895300">
            <w:pPr>
              <w:jc w:val="center"/>
              <w:rPr>
                <w:b/>
                <w:bCs/>
                <w:sz w:val="20"/>
                <w:szCs w:val="20"/>
              </w:rPr>
            </w:pPr>
            <w:r>
              <w:rPr>
                <w:b/>
                <w:bCs/>
                <w:sz w:val="20"/>
                <w:szCs w:val="20"/>
              </w:rPr>
              <w:t>£15.47</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£30,153</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£15.63</w:t>
            </w:r>
          </w:p>
        </w:tc>
      </w:tr>
      <w:tr w:rsidR="00895300" w:rsidRPr="00505452" w:rsidTr="00A91EFA">
        <w:trPr>
          <w:cantSplit/>
          <w:trHeight w:val="20"/>
        </w:trPr>
        <w:tc>
          <w:tcPr>
            <w:tcW w:w="964" w:type="dxa"/>
            <w:gridSpan w:val="2"/>
            <w:vMerge w:val="restart"/>
            <w:tcBorders>
              <w:top w:val="single" w:sz="4" w:space="0" w:color="auto"/>
              <w:left w:val="single" w:sz="4" w:space="0" w:color="auto"/>
              <w:bottom w:val="nil"/>
              <w:right w:val="nil"/>
            </w:tcBorders>
            <w:shd w:val="clear" w:color="000000" w:fill="CCFFFF"/>
            <w:textDirection w:val="btLr"/>
            <w:vAlign w:val="center"/>
            <w:hideMark/>
          </w:tcPr>
          <w:p w:rsidR="00895300" w:rsidRPr="00954094" w:rsidRDefault="00895300" w:rsidP="00A91EFA">
            <w:pPr>
              <w:jc w:val="center"/>
              <w:rPr>
                <w:b/>
                <w:bCs/>
                <w:sz w:val="20"/>
                <w:szCs w:val="20"/>
              </w:rPr>
            </w:pPr>
            <w:r w:rsidRPr="00954094">
              <w:rPr>
                <w:b/>
                <w:bCs/>
                <w:sz w:val="20"/>
                <w:szCs w:val="20"/>
              </w:rPr>
              <w:t>PO2</w:t>
            </w:r>
          </w:p>
        </w:tc>
        <w:tc>
          <w:tcPr>
            <w:tcW w:w="964" w:type="dxa"/>
            <w:gridSpan w:val="2"/>
            <w:vMerge/>
            <w:tcBorders>
              <w:top w:val="nil"/>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35</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£30,480</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£15.80</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£30,785</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£15.96</w:t>
            </w:r>
          </w:p>
        </w:tc>
      </w:tr>
      <w:tr w:rsidR="00895300" w:rsidRPr="00505452" w:rsidTr="00A91EFA">
        <w:trPr>
          <w:cantSplit/>
          <w:trHeight w:val="20"/>
        </w:trPr>
        <w:tc>
          <w:tcPr>
            <w:tcW w:w="964" w:type="dxa"/>
            <w:gridSpan w:val="2"/>
            <w:vMerge/>
            <w:tcBorders>
              <w:top w:val="single" w:sz="4" w:space="0" w:color="auto"/>
              <w:left w:val="single" w:sz="4" w:space="0" w:color="auto"/>
              <w:bottom w:val="nil"/>
              <w:right w:val="nil"/>
            </w:tcBorders>
            <w:vAlign w:val="center"/>
            <w:hideMark/>
          </w:tcPr>
          <w:p w:rsidR="00895300" w:rsidRPr="00954094" w:rsidRDefault="00895300" w:rsidP="00A91EFA">
            <w:pPr>
              <w:jc w:val="center"/>
              <w:rPr>
                <w:b/>
                <w:bCs/>
                <w:sz w:val="20"/>
                <w:szCs w:val="20"/>
              </w:rPr>
            </w:pPr>
          </w:p>
        </w:tc>
        <w:tc>
          <w:tcPr>
            <w:tcW w:w="964" w:type="dxa"/>
            <w:gridSpan w:val="2"/>
            <w:vMerge/>
            <w:tcBorders>
              <w:top w:val="nil"/>
              <w:left w:val="single" w:sz="4" w:space="0" w:color="auto"/>
              <w:bottom w:val="nil"/>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36</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£31,288</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£16.22</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£31,601</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£16.38</w:t>
            </w:r>
          </w:p>
        </w:tc>
      </w:tr>
      <w:tr w:rsidR="00895300" w:rsidRPr="00505452" w:rsidTr="00A91EFA">
        <w:trPr>
          <w:cantSplit/>
          <w:trHeight w:val="20"/>
        </w:trPr>
        <w:tc>
          <w:tcPr>
            <w:tcW w:w="964" w:type="dxa"/>
            <w:gridSpan w:val="2"/>
            <w:vMerge/>
            <w:tcBorders>
              <w:top w:val="single" w:sz="4" w:space="0" w:color="auto"/>
              <w:left w:val="single" w:sz="4" w:space="0" w:color="auto"/>
              <w:bottom w:val="nil"/>
              <w:right w:val="nil"/>
            </w:tcBorders>
            <w:vAlign w:val="center"/>
            <w:hideMark/>
          </w:tcPr>
          <w:p w:rsidR="00895300" w:rsidRPr="00954094" w:rsidRDefault="00895300" w:rsidP="00A91EFA">
            <w:pPr>
              <w:jc w:val="center"/>
              <w:rPr>
                <w:b/>
                <w:bCs/>
                <w:sz w:val="20"/>
                <w:szCs w:val="20"/>
              </w:rPr>
            </w:pPr>
          </w:p>
        </w:tc>
        <w:tc>
          <w:tcPr>
            <w:tcW w:w="964" w:type="dxa"/>
            <w:gridSpan w:val="2"/>
            <w:tcBorders>
              <w:top w:val="single" w:sz="4" w:space="0" w:color="auto"/>
              <w:left w:val="nil"/>
              <w:bottom w:val="single" w:sz="4" w:space="0" w:color="auto"/>
              <w:right w:val="single" w:sz="4" w:space="0" w:color="000000"/>
            </w:tcBorders>
            <w:shd w:val="clear" w:color="000000" w:fill="CCFFFF"/>
            <w:textDirection w:val="btLr"/>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37</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£32,164</w:t>
            </w:r>
          </w:p>
        </w:tc>
        <w:tc>
          <w:tcPr>
            <w:tcW w:w="1493" w:type="dxa"/>
            <w:tcBorders>
              <w:top w:val="nil"/>
              <w:left w:val="nil"/>
              <w:bottom w:val="single" w:sz="4" w:space="0" w:color="auto"/>
              <w:right w:val="single" w:sz="4" w:space="0" w:color="auto"/>
            </w:tcBorders>
            <w:shd w:val="clear" w:color="auto" w:fill="auto"/>
            <w:vAlign w:val="center"/>
          </w:tcPr>
          <w:p w:rsidR="00895300" w:rsidRPr="00954094" w:rsidRDefault="00895300" w:rsidP="00895300">
            <w:pPr>
              <w:jc w:val="center"/>
              <w:rPr>
                <w:b/>
                <w:bCs/>
                <w:sz w:val="20"/>
                <w:szCs w:val="20"/>
              </w:rPr>
            </w:pPr>
            <w:r>
              <w:rPr>
                <w:b/>
                <w:bCs/>
                <w:sz w:val="20"/>
                <w:szCs w:val="20"/>
              </w:rPr>
              <w:t>£16.67</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£32,486</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£16.84</w:t>
            </w:r>
          </w:p>
        </w:tc>
      </w:tr>
      <w:tr w:rsidR="00895300" w:rsidRPr="00505452" w:rsidTr="00A91EFA">
        <w:trPr>
          <w:cantSplit/>
          <w:trHeight w:val="20"/>
        </w:trPr>
        <w:tc>
          <w:tcPr>
            <w:tcW w:w="964" w:type="dxa"/>
            <w:gridSpan w:val="2"/>
            <w:vMerge/>
            <w:tcBorders>
              <w:top w:val="single" w:sz="4" w:space="0" w:color="auto"/>
              <w:left w:val="single" w:sz="4" w:space="0" w:color="auto"/>
              <w:bottom w:val="nil"/>
              <w:right w:val="nil"/>
            </w:tcBorders>
            <w:vAlign w:val="center"/>
            <w:hideMark/>
          </w:tcPr>
          <w:p w:rsidR="00895300" w:rsidRPr="00954094" w:rsidRDefault="00895300" w:rsidP="00A91EFA">
            <w:pPr>
              <w:jc w:val="center"/>
              <w:rPr>
                <w:b/>
                <w:bCs/>
                <w:sz w:val="20"/>
                <w:szCs w:val="20"/>
              </w:rPr>
            </w:pPr>
          </w:p>
        </w:tc>
        <w:tc>
          <w:tcPr>
            <w:tcW w:w="964" w:type="dxa"/>
            <w:gridSpan w:val="2"/>
            <w:vMerge w:val="restart"/>
            <w:tcBorders>
              <w:top w:val="single" w:sz="4" w:space="0" w:color="auto"/>
              <w:left w:val="single" w:sz="4" w:space="0" w:color="auto"/>
              <w:bottom w:val="single" w:sz="4" w:space="0" w:color="000000"/>
              <w:right w:val="single" w:sz="4" w:space="0" w:color="000000"/>
            </w:tcBorders>
            <w:shd w:val="clear" w:color="000000" w:fill="FFCC99"/>
            <w:textDirection w:val="btLr"/>
            <w:vAlign w:val="center"/>
            <w:hideMark/>
          </w:tcPr>
          <w:p w:rsidR="00895300" w:rsidRPr="00954094" w:rsidRDefault="00895300" w:rsidP="00A91EFA">
            <w:pPr>
              <w:jc w:val="center"/>
              <w:rPr>
                <w:b/>
                <w:bCs/>
                <w:sz w:val="20"/>
                <w:szCs w:val="20"/>
              </w:rPr>
            </w:pPr>
            <w:r w:rsidRPr="00954094">
              <w:rPr>
                <w:b/>
                <w:bCs/>
                <w:sz w:val="20"/>
                <w:szCs w:val="20"/>
              </w:rPr>
              <w:t>PO3</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38</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£33,106</w:t>
            </w:r>
          </w:p>
        </w:tc>
        <w:tc>
          <w:tcPr>
            <w:tcW w:w="1493" w:type="dxa"/>
            <w:tcBorders>
              <w:top w:val="nil"/>
              <w:left w:val="nil"/>
              <w:bottom w:val="single" w:sz="4" w:space="0" w:color="auto"/>
              <w:right w:val="single" w:sz="4" w:space="0" w:color="auto"/>
            </w:tcBorders>
            <w:shd w:val="clear" w:color="auto" w:fill="auto"/>
            <w:vAlign w:val="center"/>
          </w:tcPr>
          <w:p w:rsidR="00895300" w:rsidRPr="00954094" w:rsidRDefault="00895300" w:rsidP="00895300">
            <w:pPr>
              <w:jc w:val="center"/>
              <w:rPr>
                <w:b/>
                <w:bCs/>
                <w:sz w:val="20"/>
                <w:szCs w:val="20"/>
              </w:rPr>
            </w:pPr>
            <w:r>
              <w:rPr>
                <w:b/>
                <w:bCs/>
                <w:sz w:val="20"/>
                <w:szCs w:val="20"/>
              </w:rPr>
              <w:t>£17.16</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£33,437</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£17.33</w:t>
            </w:r>
          </w:p>
        </w:tc>
      </w:tr>
      <w:tr w:rsidR="00895300" w:rsidRPr="00505452" w:rsidTr="00A91EFA">
        <w:trPr>
          <w:cantSplit/>
          <w:trHeight w:val="20"/>
        </w:trPr>
        <w:tc>
          <w:tcPr>
            <w:tcW w:w="964" w:type="dxa"/>
            <w:gridSpan w:val="2"/>
            <w:vMerge w:val="restart"/>
            <w:tcBorders>
              <w:top w:val="single" w:sz="4" w:space="0" w:color="auto"/>
              <w:left w:val="single" w:sz="4" w:space="0" w:color="auto"/>
              <w:bottom w:val="single" w:sz="4" w:space="0" w:color="000000"/>
            </w:tcBorders>
            <w:shd w:val="clear" w:color="000000" w:fill="FFCC99"/>
            <w:textDirection w:val="btLr"/>
            <w:vAlign w:val="center"/>
            <w:hideMark/>
          </w:tcPr>
          <w:p w:rsidR="00895300" w:rsidRPr="00954094" w:rsidRDefault="00895300" w:rsidP="00A91EFA">
            <w:pPr>
              <w:jc w:val="center"/>
              <w:rPr>
                <w:b/>
                <w:bCs/>
                <w:sz w:val="20"/>
                <w:szCs w:val="20"/>
              </w:rPr>
            </w:pPr>
          </w:p>
        </w:tc>
        <w:tc>
          <w:tcPr>
            <w:tcW w:w="964" w:type="dxa"/>
            <w:gridSpan w:val="2"/>
            <w:vMerge/>
            <w:tcBorders>
              <w:top w:val="single" w:sz="4" w:space="0" w:color="auto"/>
              <w:left w:val="nil"/>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39</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£34,196</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£17.72</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£34,538</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£17.90</w:t>
            </w:r>
          </w:p>
        </w:tc>
      </w:tr>
      <w:tr w:rsidR="00895300" w:rsidRPr="00505452" w:rsidTr="00A91EFA">
        <w:trPr>
          <w:cantSplit/>
          <w:trHeight w:val="20"/>
        </w:trPr>
        <w:tc>
          <w:tcPr>
            <w:tcW w:w="964" w:type="dxa"/>
            <w:gridSpan w:val="2"/>
            <w:vMerge/>
            <w:tcBorders>
              <w:top w:val="single" w:sz="4" w:space="0" w:color="auto"/>
              <w:left w:val="single" w:sz="4" w:space="0" w:color="auto"/>
              <w:bottom w:val="single" w:sz="4" w:space="0" w:color="000000"/>
            </w:tcBorders>
            <w:vAlign w:val="center"/>
            <w:hideMark/>
          </w:tcPr>
          <w:p w:rsidR="00895300" w:rsidRPr="00954094" w:rsidRDefault="00895300" w:rsidP="00A91EFA">
            <w:pPr>
              <w:jc w:val="center"/>
              <w:rPr>
                <w:b/>
                <w:bCs/>
                <w:sz w:val="20"/>
                <w:szCs w:val="20"/>
              </w:rPr>
            </w:pPr>
          </w:p>
        </w:tc>
        <w:tc>
          <w:tcPr>
            <w:tcW w:w="964" w:type="dxa"/>
            <w:gridSpan w:val="2"/>
            <w:vMerge/>
            <w:tcBorders>
              <w:top w:val="single" w:sz="4" w:space="0" w:color="auto"/>
              <w:left w:val="nil"/>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40</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£35,093</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£18.19</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£35,444</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£18.37</w:t>
            </w:r>
          </w:p>
        </w:tc>
      </w:tr>
      <w:tr w:rsidR="00895300" w:rsidRPr="00505452" w:rsidTr="00A91EFA">
        <w:trPr>
          <w:cantSplit/>
          <w:trHeight w:val="20"/>
        </w:trPr>
        <w:tc>
          <w:tcPr>
            <w:tcW w:w="964" w:type="dxa"/>
            <w:gridSpan w:val="2"/>
            <w:vMerge w:val="restart"/>
            <w:tcBorders>
              <w:top w:val="single" w:sz="4" w:space="0" w:color="000000"/>
              <w:left w:val="single" w:sz="4" w:space="0" w:color="auto"/>
              <w:bottom w:val="single" w:sz="4" w:space="0" w:color="auto"/>
              <w:right w:val="nil"/>
            </w:tcBorders>
            <w:shd w:val="clear" w:color="000000" w:fill="FFFF99"/>
            <w:textDirection w:val="btLr"/>
            <w:vAlign w:val="center"/>
            <w:hideMark/>
          </w:tcPr>
          <w:p w:rsidR="00895300" w:rsidRPr="00954094" w:rsidRDefault="00895300" w:rsidP="00A91EFA">
            <w:pPr>
              <w:jc w:val="center"/>
              <w:rPr>
                <w:b/>
                <w:bCs/>
                <w:sz w:val="20"/>
                <w:szCs w:val="20"/>
              </w:rPr>
            </w:pPr>
            <w:r w:rsidRPr="00954094">
              <w:rPr>
                <w:b/>
                <w:bCs/>
                <w:sz w:val="20"/>
                <w:szCs w:val="20"/>
              </w:rPr>
              <w:t>PO4</w:t>
            </w:r>
          </w:p>
        </w:tc>
        <w:tc>
          <w:tcPr>
            <w:tcW w:w="964" w:type="dxa"/>
            <w:gridSpan w:val="2"/>
            <w:vMerge/>
            <w:tcBorders>
              <w:top w:val="single" w:sz="4" w:space="0" w:color="auto"/>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41</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£36,019</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£18.67</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£36,379</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£18.86</w:t>
            </w:r>
          </w:p>
        </w:tc>
      </w:tr>
      <w:tr w:rsidR="00895300" w:rsidRPr="00505452" w:rsidTr="00A91EFA">
        <w:trPr>
          <w:cantSplit/>
          <w:trHeight w:val="20"/>
        </w:trPr>
        <w:tc>
          <w:tcPr>
            <w:tcW w:w="964" w:type="dxa"/>
            <w:gridSpan w:val="2"/>
            <w:vMerge/>
            <w:tcBorders>
              <w:top w:val="single" w:sz="4" w:space="0" w:color="auto"/>
              <w:left w:val="single" w:sz="4" w:space="0" w:color="auto"/>
              <w:bottom w:val="single" w:sz="4" w:space="0" w:color="auto"/>
              <w:right w:val="nil"/>
            </w:tcBorders>
            <w:vAlign w:val="center"/>
            <w:hideMark/>
          </w:tcPr>
          <w:p w:rsidR="00895300" w:rsidRPr="00954094" w:rsidRDefault="00895300" w:rsidP="00A91EFA">
            <w:pPr>
              <w:jc w:val="center"/>
              <w:rPr>
                <w:b/>
                <w:bCs/>
                <w:sz w:val="20"/>
                <w:szCs w:val="20"/>
              </w:rPr>
            </w:pPr>
          </w:p>
        </w:tc>
        <w:tc>
          <w:tcPr>
            <w:tcW w:w="964" w:type="dxa"/>
            <w:gridSpan w:val="2"/>
            <w:vMerge w:val="restart"/>
            <w:tcBorders>
              <w:top w:val="single" w:sz="4" w:space="0" w:color="auto"/>
              <w:left w:val="nil"/>
              <w:bottom w:val="single" w:sz="4" w:space="0" w:color="000000"/>
              <w:right w:val="single" w:sz="4" w:space="0" w:color="000000"/>
            </w:tcBorders>
            <w:shd w:val="clear" w:color="000000" w:fill="FFFF99"/>
            <w:textDirection w:val="btLr"/>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42</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£36,937</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£19.15</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£37,306</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£19.34</w:t>
            </w:r>
          </w:p>
        </w:tc>
      </w:tr>
      <w:tr w:rsidR="00895300" w:rsidRPr="00505452" w:rsidTr="00A91EFA">
        <w:trPr>
          <w:cantSplit/>
          <w:trHeight w:val="20"/>
        </w:trPr>
        <w:tc>
          <w:tcPr>
            <w:tcW w:w="964" w:type="dxa"/>
            <w:gridSpan w:val="2"/>
            <w:vMerge/>
            <w:tcBorders>
              <w:top w:val="single" w:sz="4" w:space="0" w:color="auto"/>
              <w:left w:val="single" w:sz="4" w:space="0" w:color="auto"/>
              <w:bottom w:val="single" w:sz="4" w:space="0" w:color="auto"/>
              <w:right w:val="nil"/>
            </w:tcBorders>
            <w:vAlign w:val="center"/>
            <w:hideMark/>
          </w:tcPr>
          <w:p w:rsidR="00895300" w:rsidRPr="00954094" w:rsidRDefault="00895300" w:rsidP="00A91EFA">
            <w:pPr>
              <w:jc w:val="center"/>
              <w:rPr>
                <w:b/>
                <w:bCs/>
                <w:sz w:val="20"/>
                <w:szCs w:val="20"/>
              </w:rPr>
            </w:pPr>
          </w:p>
        </w:tc>
        <w:tc>
          <w:tcPr>
            <w:tcW w:w="964" w:type="dxa"/>
            <w:gridSpan w:val="2"/>
            <w:vMerge/>
            <w:tcBorders>
              <w:top w:val="single" w:sz="4" w:space="0" w:color="auto"/>
              <w:left w:val="nil"/>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43</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£37,858</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£19.62</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£38,237</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£19.82</w:t>
            </w:r>
          </w:p>
        </w:tc>
      </w:tr>
      <w:tr w:rsidR="00895300" w:rsidRPr="00505452" w:rsidTr="00A91EFA">
        <w:trPr>
          <w:cantSplit/>
          <w:trHeight w:val="20"/>
        </w:trPr>
        <w:tc>
          <w:tcPr>
            <w:tcW w:w="964" w:type="dxa"/>
            <w:gridSpan w:val="2"/>
            <w:vMerge/>
            <w:tcBorders>
              <w:top w:val="single" w:sz="4" w:space="0" w:color="auto"/>
              <w:left w:val="single" w:sz="4" w:space="0" w:color="auto"/>
              <w:bottom w:val="single" w:sz="4" w:space="0" w:color="auto"/>
              <w:right w:val="nil"/>
            </w:tcBorders>
            <w:vAlign w:val="center"/>
            <w:hideMark/>
          </w:tcPr>
          <w:p w:rsidR="00895300" w:rsidRPr="00954094" w:rsidRDefault="00895300" w:rsidP="00A91EFA">
            <w:pPr>
              <w:jc w:val="center"/>
              <w:rPr>
                <w:b/>
                <w:bCs/>
                <w:sz w:val="20"/>
                <w:szCs w:val="20"/>
              </w:rPr>
            </w:pPr>
          </w:p>
        </w:tc>
        <w:tc>
          <w:tcPr>
            <w:tcW w:w="964" w:type="dxa"/>
            <w:gridSpan w:val="2"/>
            <w:vMerge w:val="restart"/>
            <w:tcBorders>
              <w:top w:val="single" w:sz="4" w:space="0" w:color="auto"/>
              <w:left w:val="single" w:sz="4" w:space="0" w:color="auto"/>
              <w:bottom w:val="single" w:sz="4" w:space="0" w:color="000000"/>
              <w:right w:val="single" w:sz="4" w:space="0" w:color="000000"/>
            </w:tcBorders>
            <w:shd w:val="clear" w:color="000000" w:fill="CCFFCC"/>
            <w:textDirection w:val="btLr"/>
            <w:vAlign w:val="center"/>
            <w:hideMark/>
          </w:tcPr>
          <w:p w:rsidR="00895300" w:rsidRPr="00954094" w:rsidRDefault="00895300" w:rsidP="00A91EFA">
            <w:pPr>
              <w:jc w:val="center"/>
              <w:rPr>
                <w:b/>
                <w:bCs/>
                <w:sz w:val="20"/>
                <w:szCs w:val="20"/>
              </w:rPr>
            </w:pPr>
            <w:r w:rsidRPr="00954094">
              <w:rPr>
                <w:b/>
                <w:bCs/>
                <w:sz w:val="20"/>
                <w:szCs w:val="20"/>
              </w:rPr>
              <w:t>PO5</w:t>
            </w: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44</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£38,789</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£20.11</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£39,177</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£20.31</w:t>
            </w:r>
          </w:p>
        </w:tc>
      </w:tr>
      <w:tr w:rsidR="00895300" w:rsidRPr="00505452" w:rsidTr="00A91EFA">
        <w:trPr>
          <w:cantSplit/>
          <w:trHeight w:val="20"/>
        </w:trPr>
        <w:tc>
          <w:tcPr>
            <w:tcW w:w="964" w:type="dxa"/>
            <w:gridSpan w:val="2"/>
            <w:tcBorders>
              <w:top w:val="single" w:sz="4" w:space="0" w:color="auto"/>
              <w:left w:val="single" w:sz="4" w:space="0" w:color="auto"/>
              <w:bottom w:val="single" w:sz="4" w:space="0" w:color="auto"/>
            </w:tcBorders>
            <w:shd w:val="clear" w:color="000000" w:fill="CCFFCC"/>
            <w:textDirection w:val="btLr"/>
            <w:vAlign w:val="center"/>
            <w:hideMark/>
          </w:tcPr>
          <w:p w:rsidR="00895300" w:rsidRPr="00954094" w:rsidRDefault="00895300" w:rsidP="00A91EFA">
            <w:pPr>
              <w:jc w:val="center"/>
              <w:rPr>
                <w:b/>
                <w:bCs/>
                <w:sz w:val="20"/>
                <w:szCs w:val="20"/>
              </w:rPr>
            </w:pPr>
          </w:p>
        </w:tc>
        <w:tc>
          <w:tcPr>
            <w:tcW w:w="964" w:type="dxa"/>
            <w:gridSpan w:val="2"/>
            <w:vMerge/>
            <w:tcBorders>
              <w:top w:val="single" w:sz="4" w:space="0" w:color="auto"/>
              <w:left w:val="nil"/>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45</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£39,660</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£20.56</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£40,057</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£20.76</w:t>
            </w:r>
          </w:p>
        </w:tc>
      </w:tr>
      <w:tr w:rsidR="00895300" w:rsidRPr="00505452" w:rsidTr="00A91EFA">
        <w:trPr>
          <w:cantSplit/>
          <w:trHeight w:val="20"/>
        </w:trPr>
        <w:tc>
          <w:tcPr>
            <w:tcW w:w="964" w:type="dxa"/>
            <w:gridSpan w:val="2"/>
            <w:vMerge w:val="restart"/>
            <w:tcBorders>
              <w:top w:val="single" w:sz="4" w:space="0" w:color="auto"/>
              <w:left w:val="single" w:sz="4" w:space="0" w:color="auto"/>
              <w:bottom w:val="single" w:sz="4" w:space="0" w:color="000000"/>
              <w:right w:val="nil"/>
            </w:tcBorders>
            <w:shd w:val="clear" w:color="000000" w:fill="CCFFFF"/>
            <w:textDirection w:val="btLr"/>
            <w:vAlign w:val="center"/>
            <w:hideMark/>
          </w:tcPr>
          <w:p w:rsidR="00895300" w:rsidRPr="00954094" w:rsidRDefault="00895300" w:rsidP="00A91EFA">
            <w:pPr>
              <w:jc w:val="center"/>
              <w:rPr>
                <w:b/>
                <w:bCs/>
                <w:sz w:val="20"/>
                <w:szCs w:val="20"/>
              </w:rPr>
            </w:pPr>
            <w:r w:rsidRPr="00954094">
              <w:rPr>
                <w:b/>
                <w:bCs/>
                <w:sz w:val="20"/>
                <w:szCs w:val="20"/>
              </w:rPr>
              <w:t>PO6</w:t>
            </w:r>
          </w:p>
        </w:tc>
        <w:tc>
          <w:tcPr>
            <w:tcW w:w="964" w:type="dxa"/>
            <w:gridSpan w:val="2"/>
            <w:vMerge/>
            <w:tcBorders>
              <w:top w:val="single" w:sz="4" w:space="0" w:color="auto"/>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46</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£40,619</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£21.05</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£41,025</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£21.26</w:t>
            </w:r>
          </w:p>
        </w:tc>
      </w:tr>
      <w:tr w:rsidR="00895300" w:rsidRPr="00505452" w:rsidTr="00A91EFA">
        <w:trPr>
          <w:cantSplit/>
          <w:trHeight w:val="20"/>
        </w:trPr>
        <w:tc>
          <w:tcPr>
            <w:tcW w:w="964" w:type="dxa"/>
            <w:gridSpan w:val="2"/>
            <w:vMerge/>
            <w:tcBorders>
              <w:top w:val="single" w:sz="4" w:space="0" w:color="000000"/>
              <w:left w:val="single" w:sz="4" w:space="0" w:color="auto"/>
              <w:bottom w:val="single" w:sz="4" w:space="0" w:color="000000"/>
              <w:right w:val="nil"/>
            </w:tcBorders>
            <w:vAlign w:val="center"/>
            <w:hideMark/>
          </w:tcPr>
          <w:p w:rsidR="00895300" w:rsidRPr="00954094" w:rsidRDefault="00895300" w:rsidP="00A91EFA">
            <w:pPr>
              <w:jc w:val="center"/>
              <w:rPr>
                <w:b/>
                <w:bCs/>
                <w:sz w:val="20"/>
                <w:szCs w:val="20"/>
              </w:rPr>
            </w:pPr>
          </w:p>
        </w:tc>
        <w:tc>
          <w:tcPr>
            <w:tcW w:w="964" w:type="dxa"/>
            <w:gridSpan w:val="2"/>
            <w:vMerge/>
            <w:tcBorders>
              <w:top w:val="single" w:sz="4" w:space="0" w:color="auto"/>
              <w:left w:val="single" w:sz="4" w:space="0" w:color="auto"/>
              <w:bottom w:val="single" w:sz="4" w:space="0" w:color="000000"/>
              <w:right w:val="single" w:sz="4" w:space="0" w:color="000000"/>
            </w:tcBorders>
            <w:vAlign w:val="center"/>
            <w:hideMark/>
          </w:tcPr>
          <w:p w:rsidR="00895300" w:rsidRPr="00954094" w:rsidRDefault="00895300" w:rsidP="00A91EFA">
            <w:pPr>
              <w:jc w:val="center"/>
              <w:rPr>
                <w:b/>
                <w:bCs/>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47</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£41,551</w:t>
            </w:r>
          </w:p>
        </w:tc>
        <w:tc>
          <w:tcPr>
            <w:tcW w:w="1493" w:type="dxa"/>
            <w:tcBorders>
              <w:top w:val="nil"/>
              <w:left w:val="nil"/>
              <w:bottom w:val="single" w:sz="4" w:space="0" w:color="auto"/>
              <w:right w:val="single" w:sz="4" w:space="0" w:color="auto"/>
            </w:tcBorders>
            <w:shd w:val="clear" w:color="auto" w:fill="auto"/>
            <w:vAlign w:val="center"/>
          </w:tcPr>
          <w:p w:rsidR="00895300" w:rsidRPr="00954094" w:rsidRDefault="00895300" w:rsidP="00895300">
            <w:pPr>
              <w:jc w:val="center"/>
              <w:rPr>
                <w:b/>
                <w:bCs/>
                <w:sz w:val="20"/>
                <w:szCs w:val="20"/>
              </w:rPr>
            </w:pPr>
            <w:r>
              <w:rPr>
                <w:b/>
                <w:bCs/>
                <w:sz w:val="20"/>
                <w:szCs w:val="20"/>
              </w:rPr>
              <w:t>£21.54</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£41,967</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£21.75</w:t>
            </w:r>
          </w:p>
        </w:tc>
      </w:tr>
      <w:tr w:rsidR="00895300" w:rsidRPr="00505452" w:rsidTr="00A91EFA">
        <w:trPr>
          <w:cantSplit/>
          <w:trHeight w:val="20"/>
        </w:trPr>
        <w:tc>
          <w:tcPr>
            <w:tcW w:w="964" w:type="dxa"/>
            <w:gridSpan w:val="2"/>
            <w:vMerge/>
            <w:tcBorders>
              <w:top w:val="single" w:sz="4" w:space="0" w:color="000000"/>
              <w:left w:val="single" w:sz="4" w:space="0" w:color="auto"/>
              <w:bottom w:val="single" w:sz="4" w:space="0" w:color="000000"/>
              <w:right w:val="nil"/>
            </w:tcBorders>
            <w:vAlign w:val="center"/>
            <w:hideMark/>
          </w:tcPr>
          <w:p w:rsidR="00895300" w:rsidRPr="00954094" w:rsidRDefault="00895300" w:rsidP="00A91EFA">
            <w:pPr>
              <w:jc w:val="center"/>
              <w:rPr>
                <w:b/>
                <w:bCs/>
                <w:sz w:val="20"/>
                <w:szCs w:val="20"/>
              </w:rPr>
            </w:pPr>
          </w:p>
        </w:tc>
        <w:tc>
          <w:tcPr>
            <w:tcW w:w="964" w:type="dxa"/>
            <w:gridSpan w:val="2"/>
            <w:vMerge w:val="restart"/>
            <w:tcBorders>
              <w:top w:val="single" w:sz="4" w:space="0" w:color="auto"/>
              <w:left w:val="nil"/>
              <w:bottom w:val="single" w:sz="4" w:space="0" w:color="000000"/>
              <w:right w:val="single" w:sz="4" w:space="0" w:color="000000"/>
            </w:tcBorders>
            <w:shd w:val="clear" w:color="000000" w:fill="CCFFFF"/>
            <w:textDirection w:val="btLr"/>
            <w:vAlign w:val="center"/>
            <w:hideMark/>
          </w:tcPr>
          <w:p w:rsidR="00895300" w:rsidRPr="00954094" w:rsidRDefault="00895300" w:rsidP="00A91EFA">
            <w:pPr>
              <w:jc w:val="center"/>
              <w:rPr>
                <w:b/>
                <w:sz w:val="20"/>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48</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£42,474</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£22.02</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£42,899</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£22.24</w:t>
            </w:r>
          </w:p>
        </w:tc>
      </w:tr>
      <w:tr w:rsidR="00895300" w:rsidRPr="00505452" w:rsidTr="00A91EFA">
        <w:trPr>
          <w:cantSplit/>
          <w:trHeight w:val="20"/>
        </w:trPr>
        <w:tc>
          <w:tcPr>
            <w:tcW w:w="964" w:type="dxa"/>
            <w:gridSpan w:val="2"/>
            <w:vMerge/>
            <w:tcBorders>
              <w:top w:val="single" w:sz="4" w:space="0" w:color="000000"/>
              <w:left w:val="single" w:sz="4" w:space="0" w:color="auto"/>
              <w:bottom w:val="single" w:sz="4" w:space="0" w:color="000000"/>
              <w:right w:val="nil"/>
            </w:tcBorders>
            <w:vAlign w:val="center"/>
            <w:hideMark/>
          </w:tcPr>
          <w:p w:rsidR="00895300" w:rsidRPr="00D1662D" w:rsidRDefault="00895300" w:rsidP="00A91EFA">
            <w:pPr>
              <w:rPr>
                <w:b/>
                <w:bCs/>
                <w:sz w:val="22"/>
                <w:szCs w:val="20"/>
              </w:rPr>
            </w:pPr>
          </w:p>
        </w:tc>
        <w:tc>
          <w:tcPr>
            <w:tcW w:w="964" w:type="dxa"/>
            <w:gridSpan w:val="2"/>
            <w:vMerge/>
            <w:tcBorders>
              <w:top w:val="single" w:sz="4" w:space="0" w:color="auto"/>
              <w:left w:val="nil"/>
              <w:bottom w:val="single" w:sz="4" w:space="0" w:color="000000"/>
              <w:right w:val="single" w:sz="4" w:space="0" w:color="000000"/>
            </w:tcBorders>
            <w:vAlign w:val="center"/>
            <w:hideMark/>
          </w:tcPr>
          <w:p w:rsidR="00895300" w:rsidRPr="00D1662D" w:rsidRDefault="00895300" w:rsidP="00A91EFA">
            <w:pPr>
              <w:rPr>
                <w:sz w:val="22"/>
                <w:szCs w:val="20"/>
              </w:rPr>
            </w:pPr>
          </w:p>
        </w:tc>
        <w:tc>
          <w:tcPr>
            <w:tcW w:w="669" w:type="dxa"/>
            <w:tcBorders>
              <w:top w:val="nil"/>
              <w:left w:val="nil"/>
              <w:bottom w:val="single" w:sz="4" w:space="0" w:color="auto"/>
              <w:right w:val="single" w:sz="4" w:space="0" w:color="auto"/>
            </w:tcBorders>
            <w:shd w:val="clear" w:color="auto" w:fill="auto"/>
            <w:noWrap/>
            <w:vAlign w:val="center"/>
            <w:hideMark/>
          </w:tcPr>
          <w:p w:rsidR="00895300" w:rsidRPr="00954094" w:rsidRDefault="00895300" w:rsidP="00A91EFA">
            <w:pPr>
              <w:jc w:val="center"/>
              <w:rPr>
                <w:sz w:val="20"/>
                <w:szCs w:val="20"/>
              </w:rPr>
            </w:pPr>
            <w:r w:rsidRPr="00954094">
              <w:rPr>
                <w:sz w:val="20"/>
                <w:szCs w:val="20"/>
              </w:rPr>
              <w:t>49</w:t>
            </w:r>
          </w:p>
        </w:tc>
        <w:tc>
          <w:tcPr>
            <w:tcW w:w="1830"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sidRPr="00954094">
              <w:rPr>
                <w:b/>
                <w:sz w:val="20"/>
                <w:szCs w:val="20"/>
              </w:rPr>
              <w:t>£43,387</w:t>
            </w:r>
          </w:p>
        </w:tc>
        <w:tc>
          <w:tcPr>
            <w:tcW w:w="1493"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b/>
                <w:bCs/>
                <w:sz w:val="20"/>
                <w:szCs w:val="20"/>
              </w:rPr>
            </w:pPr>
            <w:r>
              <w:rPr>
                <w:b/>
                <w:bCs/>
                <w:sz w:val="20"/>
                <w:szCs w:val="20"/>
              </w:rPr>
              <w:t>£22.49</w:t>
            </w:r>
          </w:p>
        </w:tc>
        <w:tc>
          <w:tcPr>
            <w:tcW w:w="1559"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£43,821</w:t>
            </w:r>
          </w:p>
        </w:tc>
        <w:tc>
          <w:tcPr>
            <w:tcW w:w="1134" w:type="dxa"/>
            <w:tcBorders>
              <w:top w:val="nil"/>
              <w:left w:val="nil"/>
              <w:bottom w:val="single" w:sz="4" w:space="0" w:color="auto"/>
              <w:right w:val="single" w:sz="4" w:space="0" w:color="auto"/>
            </w:tcBorders>
            <w:shd w:val="clear" w:color="auto" w:fill="auto"/>
            <w:vAlign w:val="center"/>
            <w:hideMark/>
          </w:tcPr>
          <w:p w:rsidR="00895300" w:rsidRPr="00954094" w:rsidRDefault="00895300" w:rsidP="00895300">
            <w:pPr>
              <w:jc w:val="center"/>
              <w:rPr>
                <w:sz w:val="20"/>
                <w:szCs w:val="20"/>
              </w:rPr>
            </w:pPr>
            <w:r>
              <w:rPr>
                <w:b/>
                <w:bCs/>
                <w:sz w:val="20"/>
                <w:szCs w:val="20"/>
              </w:rPr>
              <w:t>£22.71</w:t>
            </w:r>
          </w:p>
        </w:tc>
      </w:tr>
    </w:tbl>
    <w:p w:rsidR="001202C5" w:rsidRPr="00DA437D" w:rsidRDefault="001202C5" w:rsidP="006D5099">
      <w:pPr>
        <w:widowControl w:val="0"/>
        <w:autoSpaceDE w:val="0"/>
        <w:autoSpaceDN w:val="0"/>
        <w:adjustRightInd w:val="0"/>
        <w:rPr>
          <w:b/>
          <w:sz w:val="14"/>
          <w:szCs w:val="18"/>
        </w:rPr>
      </w:pPr>
    </w:p>
    <w:p w:rsidR="001202C5" w:rsidRDefault="001202C5" w:rsidP="006D5099">
      <w:pPr>
        <w:pStyle w:val="Default"/>
        <w:rPr>
          <w:b/>
          <w:bCs/>
          <w:caps/>
          <w:color w:val="7F7F7F" w:themeColor="text1" w:themeTint="80"/>
          <w:sz w:val="12"/>
          <w:szCs w:val="22"/>
        </w:rPr>
      </w:pPr>
    </w:p>
    <w:p w:rsidR="001202C5" w:rsidRDefault="001202C5" w:rsidP="006D5099">
      <w:pPr>
        <w:pStyle w:val="Default"/>
        <w:rPr>
          <w:b/>
          <w:bCs/>
          <w:caps/>
          <w:color w:val="7F7F7F" w:themeColor="text1" w:themeTint="80"/>
          <w:sz w:val="12"/>
          <w:szCs w:val="22"/>
        </w:rPr>
      </w:pPr>
    </w:p>
    <w:p w:rsidR="00A603A7" w:rsidRDefault="00A603A7" w:rsidP="006D5099">
      <w:pPr>
        <w:rPr>
          <w:b/>
          <w:bCs/>
          <w:spacing w:val="-2"/>
          <w:sz w:val="22"/>
          <w:szCs w:val="22"/>
          <w:u w:val="single"/>
        </w:rPr>
      </w:pPr>
      <w:r>
        <w:rPr>
          <w:b/>
          <w:bCs/>
          <w:spacing w:val="-2"/>
          <w:sz w:val="22"/>
          <w:szCs w:val="22"/>
          <w:u w:val="single"/>
        </w:rPr>
        <w:br w:type="page"/>
      </w:r>
    </w:p>
    <w:p w:rsidR="00D60951" w:rsidRDefault="00D60951" w:rsidP="00D60951">
      <w:pPr>
        <w:pStyle w:val="Heading1"/>
      </w:pPr>
      <w:bookmarkStart w:id="47" w:name="_Toc502239804"/>
      <w:r w:rsidRPr="00C87636">
        <w:t>Appendix 4</w:t>
      </w:r>
      <w:bookmarkEnd w:id="47"/>
    </w:p>
    <w:p w:rsidR="00D60951" w:rsidRPr="00A603A7" w:rsidRDefault="00D60951" w:rsidP="00D60951">
      <w:pPr>
        <w:pStyle w:val="Heading2"/>
        <w:rPr>
          <w:rStyle w:val="Heading2Char"/>
        </w:rPr>
      </w:pPr>
      <w:bookmarkStart w:id="48" w:name="_Toc502239805"/>
      <w:r>
        <w:t>BMDC</w:t>
      </w:r>
      <w:r w:rsidRPr="00C87636">
        <w:rPr>
          <w:bCs/>
        </w:rPr>
        <w:t xml:space="preserve"> Locally Agreed Grades</w:t>
      </w:r>
      <w:r>
        <w:rPr>
          <w:bCs/>
        </w:rPr>
        <w:t xml:space="preserve"> </w:t>
      </w:r>
      <w:r w:rsidRPr="00A603A7">
        <w:rPr>
          <w:rStyle w:val="Heading2Char"/>
        </w:rPr>
        <w:t>for staff above the level of Principal Officer Range (posts formerly designated as APT&amp;C)</w:t>
      </w:r>
      <w:bookmarkEnd w:id="48"/>
    </w:p>
    <w:p w:rsidR="00D60951" w:rsidRDefault="00D60951" w:rsidP="00D60951"/>
    <w:p w:rsidR="00D60951" w:rsidRPr="00A603A7" w:rsidRDefault="00D60951" w:rsidP="00D60951">
      <w:r>
        <w:t>Effective from 1 April 2017</w:t>
      </w:r>
    </w:p>
    <w:p w:rsidR="00D60951" w:rsidRPr="00A603A7" w:rsidRDefault="00D60951" w:rsidP="00D60951">
      <w:pPr>
        <w:rPr>
          <w:color w:val="7F7F7F" w:themeColor="text1" w:themeTint="80"/>
        </w:rPr>
      </w:pPr>
    </w:p>
    <w:p w:rsidR="00D60951" w:rsidRPr="00A603A7" w:rsidRDefault="00D60951" w:rsidP="00D60951">
      <w:r w:rsidRPr="00A603A7">
        <w:t>Special Grades</w:t>
      </w:r>
    </w:p>
    <w:p w:rsidR="00D60951" w:rsidRPr="00A603A7" w:rsidRDefault="00D60951" w:rsidP="00D60951">
      <w:pPr>
        <w:rPr>
          <w:color w:val="7F7F7F" w:themeColor="text1" w:themeTint="80"/>
          <w:sz w:val="20"/>
          <w:szCs w:val="20"/>
        </w:rPr>
      </w:pPr>
    </w:p>
    <w:tbl>
      <w:tblPr>
        <w:tblW w:w="7857" w:type="dxa"/>
        <w:jc w:val="center"/>
        <w:tblLayout w:type="fixed"/>
        <w:tblLook w:val="0000" w:firstRow="0" w:lastRow="0" w:firstColumn="0" w:lastColumn="0" w:noHBand="0" w:noVBand="0"/>
      </w:tblPr>
      <w:tblGrid>
        <w:gridCol w:w="2176"/>
        <w:gridCol w:w="1420"/>
        <w:gridCol w:w="1420"/>
        <w:gridCol w:w="1420"/>
        <w:gridCol w:w="1421"/>
      </w:tblGrid>
      <w:tr w:rsidR="00D60951" w:rsidRPr="00A603A7" w:rsidTr="00DE7789">
        <w:trPr>
          <w:trHeight w:val="240"/>
          <w:jc w:val="center"/>
        </w:trPr>
        <w:tc>
          <w:tcPr>
            <w:tcW w:w="2176" w:type="dxa"/>
            <w:tcBorders>
              <w:right w:val="single" w:sz="4" w:space="0" w:color="auto"/>
            </w:tcBorders>
            <w:shd w:val="clear" w:color="auto" w:fill="auto"/>
            <w:noWrap/>
            <w:vAlign w:val="center"/>
          </w:tcPr>
          <w:p w:rsidR="00D60951" w:rsidRPr="00A603A7" w:rsidRDefault="00D60951" w:rsidP="00DE7789">
            <w:pPr>
              <w:rPr>
                <w:b/>
                <w:bCs/>
                <w:color w:val="7F7F7F" w:themeColor="text1" w:themeTint="80"/>
                <w:sz w:val="20"/>
                <w:szCs w:val="20"/>
              </w:rPr>
            </w:pPr>
            <w:r w:rsidRPr="00A603A7">
              <w:rPr>
                <w:b/>
                <w:bCs/>
                <w:color w:val="7F7F7F" w:themeColor="text1" w:themeTint="80"/>
                <w:sz w:val="20"/>
                <w:szCs w:val="20"/>
              </w:rPr>
              <w:t> </w:t>
            </w:r>
          </w:p>
        </w:tc>
        <w:tc>
          <w:tcPr>
            <w:tcW w:w="1420" w:type="dxa"/>
            <w:tcBorders>
              <w:top w:val="single" w:sz="4" w:space="0" w:color="auto"/>
              <w:left w:val="single" w:sz="4" w:space="0" w:color="auto"/>
              <w:right w:val="single" w:sz="4" w:space="0" w:color="auto"/>
            </w:tcBorders>
            <w:shd w:val="clear" w:color="auto" w:fill="auto"/>
            <w:noWrap/>
          </w:tcPr>
          <w:p w:rsidR="00D60951" w:rsidRPr="00A603A7" w:rsidRDefault="00D60951" w:rsidP="00DE7789">
            <w:pPr>
              <w:jc w:val="center"/>
              <w:rPr>
                <w:b/>
                <w:bCs/>
                <w:color w:val="7F7F7F" w:themeColor="text1" w:themeTint="80"/>
                <w:sz w:val="20"/>
                <w:szCs w:val="20"/>
              </w:rPr>
            </w:pPr>
            <w:r w:rsidRPr="00A603A7">
              <w:rPr>
                <w:b/>
                <w:bCs/>
                <w:color w:val="7F7F7F" w:themeColor="text1" w:themeTint="80"/>
                <w:sz w:val="20"/>
                <w:szCs w:val="20"/>
              </w:rPr>
              <w:t>Salary</w:t>
            </w:r>
          </w:p>
          <w:p w:rsidR="00D60951" w:rsidRPr="00A603A7" w:rsidRDefault="00D60951" w:rsidP="00DE7789">
            <w:pPr>
              <w:jc w:val="center"/>
              <w:rPr>
                <w:b/>
                <w:bCs/>
                <w:color w:val="7F7F7F" w:themeColor="text1" w:themeTint="80"/>
                <w:sz w:val="20"/>
                <w:szCs w:val="20"/>
              </w:rPr>
            </w:pPr>
            <w:r>
              <w:rPr>
                <w:b/>
                <w:bCs/>
                <w:color w:val="7F7F7F" w:themeColor="text1" w:themeTint="80"/>
                <w:sz w:val="20"/>
                <w:szCs w:val="20"/>
              </w:rPr>
              <w:t>1 April 17</w:t>
            </w:r>
          </w:p>
        </w:tc>
        <w:tc>
          <w:tcPr>
            <w:tcW w:w="1420" w:type="dxa"/>
            <w:tcBorders>
              <w:top w:val="single" w:sz="4" w:space="0" w:color="auto"/>
              <w:left w:val="single" w:sz="4" w:space="0" w:color="auto"/>
              <w:right w:val="single" w:sz="4" w:space="0" w:color="auto"/>
            </w:tcBorders>
          </w:tcPr>
          <w:p w:rsidR="00D60951" w:rsidRPr="00A603A7" w:rsidRDefault="00D60951" w:rsidP="00DE7789">
            <w:pPr>
              <w:autoSpaceDE w:val="0"/>
              <w:autoSpaceDN w:val="0"/>
              <w:adjustRightInd w:val="0"/>
              <w:jc w:val="center"/>
              <w:rPr>
                <w:b/>
                <w:color w:val="7F7F7F" w:themeColor="text1" w:themeTint="80"/>
                <w:sz w:val="20"/>
                <w:szCs w:val="20"/>
              </w:rPr>
            </w:pPr>
            <w:r w:rsidRPr="00A603A7">
              <w:rPr>
                <w:b/>
                <w:color w:val="7F7F7F" w:themeColor="text1" w:themeTint="80"/>
                <w:sz w:val="20"/>
                <w:szCs w:val="20"/>
              </w:rPr>
              <w:t>Monthly</w:t>
            </w:r>
          </w:p>
        </w:tc>
        <w:tc>
          <w:tcPr>
            <w:tcW w:w="1420" w:type="dxa"/>
            <w:tcBorders>
              <w:top w:val="single" w:sz="4" w:space="0" w:color="auto"/>
              <w:left w:val="single" w:sz="4" w:space="0" w:color="auto"/>
              <w:right w:val="single" w:sz="4" w:space="0" w:color="auto"/>
            </w:tcBorders>
          </w:tcPr>
          <w:p w:rsidR="00D60951" w:rsidRPr="00A603A7" w:rsidRDefault="00D60951" w:rsidP="00DE7789">
            <w:pPr>
              <w:autoSpaceDE w:val="0"/>
              <w:autoSpaceDN w:val="0"/>
              <w:adjustRightInd w:val="0"/>
              <w:jc w:val="center"/>
              <w:rPr>
                <w:b/>
                <w:color w:val="7F7F7F" w:themeColor="text1" w:themeTint="80"/>
                <w:sz w:val="20"/>
                <w:szCs w:val="20"/>
              </w:rPr>
            </w:pPr>
            <w:r w:rsidRPr="00A603A7">
              <w:rPr>
                <w:b/>
                <w:color w:val="7F7F7F" w:themeColor="text1" w:themeTint="80"/>
                <w:sz w:val="20"/>
                <w:szCs w:val="20"/>
              </w:rPr>
              <w:t>Weekly</w:t>
            </w:r>
          </w:p>
        </w:tc>
        <w:tc>
          <w:tcPr>
            <w:tcW w:w="1421" w:type="dxa"/>
            <w:tcBorders>
              <w:top w:val="single" w:sz="4" w:space="0" w:color="auto"/>
              <w:left w:val="single" w:sz="4" w:space="0" w:color="auto"/>
              <w:right w:val="single" w:sz="4" w:space="0" w:color="auto"/>
            </w:tcBorders>
          </w:tcPr>
          <w:p w:rsidR="00D60951" w:rsidRPr="00A603A7" w:rsidRDefault="00D60951" w:rsidP="00DE7789">
            <w:pPr>
              <w:autoSpaceDE w:val="0"/>
              <w:autoSpaceDN w:val="0"/>
              <w:adjustRightInd w:val="0"/>
              <w:jc w:val="center"/>
              <w:rPr>
                <w:b/>
                <w:color w:val="7F7F7F" w:themeColor="text1" w:themeTint="80"/>
                <w:sz w:val="20"/>
                <w:szCs w:val="20"/>
              </w:rPr>
            </w:pPr>
            <w:r w:rsidRPr="00A603A7">
              <w:rPr>
                <w:b/>
                <w:color w:val="7F7F7F" w:themeColor="text1" w:themeTint="80"/>
                <w:sz w:val="20"/>
                <w:szCs w:val="20"/>
              </w:rPr>
              <w:t>Hourly Rate</w:t>
            </w:r>
          </w:p>
          <w:p w:rsidR="00D60951" w:rsidRPr="00A603A7" w:rsidRDefault="00D60951" w:rsidP="00DE7789">
            <w:pPr>
              <w:autoSpaceDE w:val="0"/>
              <w:autoSpaceDN w:val="0"/>
              <w:adjustRightInd w:val="0"/>
              <w:jc w:val="center"/>
              <w:rPr>
                <w:b/>
                <w:color w:val="7F7F7F" w:themeColor="text1" w:themeTint="80"/>
                <w:sz w:val="20"/>
                <w:szCs w:val="20"/>
              </w:rPr>
            </w:pPr>
          </w:p>
        </w:tc>
      </w:tr>
      <w:tr w:rsidR="00D60951" w:rsidRPr="00A603A7" w:rsidTr="00DE7789">
        <w:trPr>
          <w:trHeight w:val="240"/>
          <w:jc w:val="center"/>
        </w:trPr>
        <w:tc>
          <w:tcPr>
            <w:tcW w:w="2176" w:type="dxa"/>
            <w:tcBorders>
              <w:right w:val="single" w:sz="4" w:space="0" w:color="auto"/>
            </w:tcBorders>
            <w:shd w:val="clear" w:color="auto" w:fill="auto"/>
            <w:noWrap/>
            <w:vAlign w:val="center"/>
          </w:tcPr>
          <w:p w:rsidR="00D60951" w:rsidRPr="00A603A7" w:rsidRDefault="00D60951" w:rsidP="00DE7789">
            <w:pPr>
              <w:rPr>
                <w:b/>
                <w:bCs/>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b/>
                <w:bCs/>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tcPr>
          <w:p w:rsidR="00D60951" w:rsidRPr="00A603A7" w:rsidRDefault="00D60951" w:rsidP="00DE7789">
            <w:pPr>
              <w:rPr>
                <w:b/>
                <w:bCs/>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tcPr>
          <w:p w:rsidR="00D60951" w:rsidRPr="00A603A7" w:rsidRDefault="00D60951" w:rsidP="00DE7789">
            <w:pPr>
              <w:rPr>
                <w:b/>
                <w:bCs/>
                <w:color w:val="7F7F7F" w:themeColor="text1" w:themeTint="80"/>
                <w:sz w:val="20"/>
                <w:szCs w:val="20"/>
              </w:rPr>
            </w:pPr>
          </w:p>
        </w:tc>
        <w:tc>
          <w:tcPr>
            <w:tcW w:w="1421" w:type="dxa"/>
            <w:tcBorders>
              <w:top w:val="single" w:sz="4" w:space="0" w:color="auto"/>
              <w:left w:val="single" w:sz="4" w:space="0" w:color="auto"/>
              <w:bottom w:val="single" w:sz="4" w:space="0" w:color="auto"/>
              <w:right w:val="single" w:sz="4" w:space="0" w:color="auto"/>
            </w:tcBorders>
          </w:tcPr>
          <w:p w:rsidR="00D60951" w:rsidRPr="00A603A7" w:rsidRDefault="00D60951" w:rsidP="00DE7789">
            <w:pPr>
              <w:rPr>
                <w:b/>
                <w:bCs/>
                <w:color w:val="7F7F7F" w:themeColor="text1" w:themeTint="80"/>
                <w:sz w:val="20"/>
                <w:szCs w:val="20"/>
              </w:rPr>
            </w:pPr>
          </w:p>
        </w:tc>
      </w:tr>
      <w:tr w:rsidR="00D60951" w:rsidRPr="00A603A7" w:rsidTr="00DE7789">
        <w:trPr>
          <w:trHeight w:val="300"/>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b/>
                <w:bCs/>
                <w:color w:val="7F7F7F" w:themeColor="text1" w:themeTint="80"/>
                <w:sz w:val="20"/>
                <w:szCs w:val="20"/>
              </w:rPr>
            </w:pPr>
            <w:r w:rsidRPr="00A603A7">
              <w:rPr>
                <w:b/>
                <w:bCs/>
                <w:color w:val="7F7F7F" w:themeColor="text1" w:themeTint="80"/>
                <w:sz w:val="20"/>
                <w:szCs w:val="20"/>
              </w:rPr>
              <w:t>Special Grade 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£42,895</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£3,574.58</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£822.64</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£22.23</w:t>
            </w:r>
          </w:p>
        </w:tc>
      </w:tr>
      <w:tr w:rsidR="00D60951" w:rsidRPr="00A603A7" w:rsidTr="00DE7789">
        <w:trPr>
          <w:trHeight w:val="351"/>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£43,802</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£3,650.17</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£840.04</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£22.70</w:t>
            </w:r>
          </w:p>
        </w:tc>
      </w:tr>
      <w:tr w:rsidR="00D60951" w:rsidRPr="00A603A7" w:rsidTr="00DE7789">
        <w:trPr>
          <w:trHeight w:val="300"/>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r w:rsidRPr="00A603A7">
              <w:rPr>
                <w:color w:val="7F7F7F" w:themeColor="text1" w:themeTint="8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£44,723</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£3,726.92</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£857.70</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£23.18</w:t>
            </w:r>
          </w:p>
        </w:tc>
      </w:tr>
      <w:tr w:rsidR="00D60951" w:rsidRPr="00A603A7" w:rsidTr="00DE7789">
        <w:trPr>
          <w:trHeight w:val="302"/>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£45,532</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£3,794.33</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£873.22</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£23.60</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r w:rsidRPr="00A603A7">
              <w:rPr>
                <w:color w:val="7F7F7F" w:themeColor="text1" w:themeTint="8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£46,356</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£3,863.00</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£889.02</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£24.03</w:t>
            </w:r>
          </w:p>
        </w:tc>
      </w:tr>
      <w:tr w:rsidR="00D60951" w:rsidRPr="00A603A7" w:rsidTr="00DE7789">
        <w:trPr>
          <w:trHeight w:val="300"/>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b/>
                <w:bCs/>
                <w:color w:val="7F7F7F" w:themeColor="text1" w:themeTint="80"/>
                <w:sz w:val="20"/>
                <w:szCs w:val="20"/>
              </w:rPr>
            </w:pPr>
            <w:r w:rsidRPr="00A603A7">
              <w:rPr>
                <w:b/>
                <w:bCs/>
                <w:color w:val="7F7F7F" w:themeColor="text1" w:themeTint="80"/>
                <w:sz w:val="20"/>
                <w:szCs w:val="20"/>
              </w:rPr>
              <w:t>Special Grade B</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£45,654</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£3,804.50</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£875.56</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£23.66</w:t>
            </w:r>
          </w:p>
        </w:tc>
      </w:tr>
      <w:tr w:rsidR="00D60951" w:rsidRPr="00A603A7" w:rsidTr="00DE7789">
        <w:trPr>
          <w:trHeight w:val="300"/>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£46,459</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£3,871.58</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£890.99</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£24.08</w:t>
            </w:r>
          </w:p>
        </w:tc>
      </w:tr>
      <w:tr w:rsidR="00D60951" w:rsidRPr="00A603A7" w:rsidTr="00DE7789">
        <w:trPr>
          <w:trHeight w:val="300"/>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r w:rsidRPr="00A603A7">
              <w:rPr>
                <w:color w:val="7F7F7F" w:themeColor="text1" w:themeTint="8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£47,287</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£3,940.58</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£906.87</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£24.51</w:t>
            </w:r>
          </w:p>
        </w:tc>
      </w:tr>
      <w:tr w:rsidR="00D60951" w:rsidRPr="00A603A7" w:rsidTr="00DE7789">
        <w:trPr>
          <w:trHeight w:val="300"/>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r w:rsidRPr="00A603A7">
              <w:rPr>
                <w:color w:val="7F7F7F" w:themeColor="text1" w:themeTint="8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£48,112</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£4,009.33</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£922.70</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£24.94</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r w:rsidRPr="00A603A7">
              <w:rPr>
                <w:color w:val="7F7F7F" w:themeColor="text1" w:themeTint="8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£48,925</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£4,077.08</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£938.29</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£25.36</w:t>
            </w:r>
          </w:p>
        </w:tc>
      </w:tr>
      <w:tr w:rsidR="00D60951" w:rsidRPr="00A603A7" w:rsidTr="00DE7789">
        <w:trPr>
          <w:trHeight w:val="300"/>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b/>
                <w:bCs/>
                <w:color w:val="7F7F7F" w:themeColor="text1" w:themeTint="80"/>
                <w:sz w:val="20"/>
                <w:szCs w:val="20"/>
              </w:rPr>
            </w:pPr>
            <w:r w:rsidRPr="00A603A7">
              <w:rPr>
                <w:b/>
                <w:bCs/>
                <w:color w:val="7F7F7F" w:themeColor="text1" w:themeTint="80"/>
                <w:sz w:val="20"/>
                <w:szCs w:val="20"/>
              </w:rPr>
              <w:t>Special Grade C</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£48,318</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£4,026.50</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£926.65</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£25.04</w:t>
            </w:r>
          </w:p>
        </w:tc>
      </w:tr>
      <w:tr w:rsidR="00D60951" w:rsidRPr="00A603A7" w:rsidTr="00DE7789">
        <w:trPr>
          <w:trHeight w:val="300"/>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£49,139</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£4,094.92</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£942.39</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£25.47</w:t>
            </w:r>
          </w:p>
        </w:tc>
      </w:tr>
      <w:tr w:rsidR="00D60951" w:rsidRPr="00A603A7" w:rsidTr="00DE7789">
        <w:trPr>
          <w:trHeight w:val="300"/>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r w:rsidRPr="00A603A7">
              <w:rPr>
                <w:color w:val="7F7F7F" w:themeColor="text1" w:themeTint="8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£49,972</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£4,164.33</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£958.37</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£25.90</w:t>
            </w:r>
          </w:p>
        </w:tc>
      </w:tr>
      <w:tr w:rsidR="00D60951" w:rsidRPr="00A603A7" w:rsidTr="00DE7789">
        <w:trPr>
          <w:trHeight w:val="300"/>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r w:rsidRPr="00A603A7">
              <w:rPr>
                <w:color w:val="7F7F7F" w:themeColor="text1" w:themeTint="8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£50,721</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£4,226.75</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£972.73</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£26.29</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r w:rsidRPr="00A603A7">
              <w:rPr>
                <w:color w:val="7F7F7F" w:themeColor="text1" w:themeTint="80"/>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£51,600</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£4,300.00</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£989.59</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£26.75</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b/>
                <w:color w:val="7F7F7F" w:themeColor="text1" w:themeTint="80"/>
                <w:sz w:val="20"/>
                <w:szCs w:val="20"/>
              </w:rPr>
            </w:pPr>
            <w:r w:rsidRPr="00A603A7">
              <w:rPr>
                <w:b/>
                <w:color w:val="7F7F7F" w:themeColor="text1" w:themeTint="80"/>
                <w:sz w:val="20"/>
                <w:szCs w:val="20"/>
              </w:rPr>
              <w:t>Special Grade D</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£52,630</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£4,385.83</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£1,009.34</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£27.28</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b/>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£54,870</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£4,572.50</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£1,052.30</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£28.44</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b/>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£57,219</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£4,768.25</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£1,097.35</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£29.66</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b/>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£59,350</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£4,945.83</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£1,138.22</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£30.76</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b/>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£61,589</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£5,132.42</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£1,181.16</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£31.92</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b/>
                <w:color w:val="7F7F7F" w:themeColor="text1" w:themeTint="80"/>
                <w:sz w:val="20"/>
                <w:szCs w:val="20"/>
              </w:rPr>
            </w:pPr>
            <w:r w:rsidRPr="00A603A7">
              <w:rPr>
                <w:b/>
                <w:color w:val="7F7F7F" w:themeColor="text1" w:themeTint="80"/>
                <w:sz w:val="20"/>
                <w:szCs w:val="20"/>
              </w:rPr>
              <w:t>Special Grade 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£62,709</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£5,225.75</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£1,202.64</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£32.50</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£64,949</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£5,412.42</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£1,245.60</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£33.66</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£67,188</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£5,599.00</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£1,288.54</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£34.83</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£69,427</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£5,785.58</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£1,331.48</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£35.99</w:t>
            </w:r>
          </w:p>
        </w:tc>
      </w:tr>
      <w:tr w:rsidR="00D60951" w:rsidRPr="00A603A7" w:rsidTr="00DE7789">
        <w:trPr>
          <w:trHeight w:val="315"/>
          <w:jc w:val="center"/>
        </w:trPr>
        <w:tc>
          <w:tcPr>
            <w:tcW w:w="2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51" w:rsidRPr="00A603A7" w:rsidRDefault="00D60951" w:rsidP="00DE7789">
            <w:pPr>
              <w:rPr>
                <w:color w:val="7F7F7F" w:themeColor="text1" w:themeTint="80"/>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0951" w:rsidRPr="00A603A7" w:rsidRDefault="00D60951" w:rsidP="00DE7789">
            <w:pPr>
              <w:rPr>
                <w:b/>
                <w:color w:val="7F7F7F" w:themeColor="text1" w:themeTint="80"/>
                <w:sz w:val="20"/>
                <w:szCs w:val="20"/>
              </w:rPr>
            </w:pPr>
            <w:r>
              <w:rPr>
                <w:b/>
                <w:color w:val="7F7F7F" w:themeColor="text1" w:themeTint="80"/>
                <w:sz w:val="20"/>
                <w:szCs w:val="20"/>
              </w:rPr>
              <w:t>£71,668</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£5,972.33</w:t>
            </w:r>
          </w:p>
        </w:tc>
        <w:tc>
          <w:tcPr>
            <w:tcW w:w="1420"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£1,374.45</w:t>
            </w:r>
          </w:p>
        </w:tc>
        <w:tc>
          <w:tcPr>
            <w:tcW w:w="1421" w:type="dxa"/>
            <w:tcBorders>
              <w:top w:val="single" w:sz="4" w:space="0" w:color="auto"/>
              <w:left w:val="single" w:sz="4" w:space="0" w:color="auto"/>
              <w:bottom w:val="single" w:sz="4" w:space="0" w:color="auto"/>
              <w:right w:val="single" w:sz="4" w:space="0" w:color="auto"/>
            </w:tcBorders>
            <w:vAlign w:val="bottom"/>
          </w:tcPr>
          <w:p w:rsidR="00D60951" w:rsidRPr="00A603A7" w:rsidRDefault="00D60951" w:rsidP="00DE7789">
            <w:pPr>
              <w:rPr>
                <w:color w:val="7F7F7F" w:themeColor="text1" w:themeTint="80"/>
                <w:sz w:val="20"/>
                <w:szCs w:val="20"/>
              </w:rPr>
            </w:pPr>
            <w:r>
              <w:rPr>
                <w:b/>
                <w:color w:val="7F7F7F" w:themeColor="text1" w:themeTint="80"/>
                <w:sz w:val="20"/>
                <w:szCs w:val="20"/>
              </w:rPr>
              <w:t>£37.15</w:t>
            </w:r>
          </w:p>
        </w:tc>
      </w:tr>
    </w:tbl>
    <w:p w:rsidR="00A603A7" w:rsidRPr="00A603A7" w:rsidRDefault="00A603A7" w:rsidP="006D5099">
      <w:pPr>
        <w:rPr>
          <w:b/>
          <w:color w:val="7F7F7F" w:themeColor="text1" w:themeTint="80"/>
          <w:sz w:val="20"/>
          <w:szCs w:val="20"/>
          <w:u w:val="single"/>
        </w:rPr>
      </w:pPr>
    </w:p>
    <w:p w:rsidR="00A603A7" w:rsidRPr="00A603A7" w:rsidRDefault="00A603A7" w:rsidP="006D5099">
      <w:pPr>
        <w:rPr>
          <w:b/>
          <w:color w:val="7F7F7F" w:themeColor="text1" w:themeTint="80"/>
          <w:sz w:val="20"/>
          <w:szCs w:val="20"/>
          <w:u w:val="single"/>
        </w:rPr>
      </w:pPr>
    </w:p>
    <w:p w:rsidR="00A603A7" w:rsidRPr="00A603A7" w:rsidRDefault="00A603A7" w:rsidP="006D5099">
      <w:pPr>
        <w:rPr>
          <w:b/>
          <w:color w:val="7F7F7F" w:themeColor="text1" w:themeTint="80"/>
          <w:sz w:val="20"/>
          <w:szCs w:val="20"/>
          <w:u w:val="single"/>
        </w:rPr>
      </w:pPr>
    </w:p>
    <w:p w:rsidR="00A603A7" w:rsidRPr="00A603A7" w:rsidRDefault="00A603A7" w:rsidP="006D5099">
      <w:pPr>
        <w:rPr>
          <w:b/>
          <w:color w:val="7F7F7F" w:themeColor="text1" w:themeTint="80"/>
          <w:sz w:val="20"/>
          <w:szCs w:val="20"/>
          <w:u w:val="single"/>
        </w:rPr>
      </w:pPr>
    </w:p>
    <w:p w:rsidR="00A603A7" w:rsidRPr="00A603A7" w:rsidRDefault="00A603A7" w:rsidP="006D5099">
      <w:pPr>
        <w:rPr>
          <w:b/>
          <w:color w:val="7F7F7F" w:themeColor="text1" w:themeTint="80"/>
          <w:sz w:val="20"/>
          <w:szCs w:val="20"/>
          <w:u w:val="single"/>
        </w:rPr>
      </w:pPr>
    </w:p>
    <w:p w:rsidR="00A603A7" w:rsidRPr="00A603A7" w:rsidRDefault="00A603A7" w:rsidP="006D5099">
      <w:pPr>
        <w:rPr>
          <w:b/>
          <w:color w:val="7F7F7F" w:themeColor="text1" w:themeTint="80"/>
          <w:sz w:val="22"/>
          <w:szCs w:val="22"/>
          <w:u w:val="single"/>
        </w:rPr>
      </w:pPr>
    </w:p>
    <w:p w:rsidR="00A603A7" w:rsidRPr="00A603A7" w:rsidRDefault="00A603A7" w:rsidP="006D5099">
      <w:pPr>
        <w:rPr>
          <w:b/>
          <w:color w:val="7F7F7F" w:themeColor="text1" w:themeTint="80"/>
          <w:sz w:val="22"/>
          <w:szCs w:val="22"/>
          <w:u w:val="single"/>
        </w:rPr>
      </w:pPr>
    </w:p>
    <w:p w:rsidR="00A603A7" w:rsidRPr="00A603A7" w:rsidRDefault="00A603A7" w:rsidP="006D5099">
      <w:pPr>
        <w:rPr>
          <w:b/>
          <w:color w:val="7F7F7F" w:themeColor="text1" w:themeTint="80"/>
          <w:sz w:val="22"/>
          <w:szCs w:val="22"/>
          <w:u w:val="single"/>
        </w:rPr>
      </w:pPr>
    </w:p>
    <w:p w:rsidR="00A603A7" w:rsidRPr="00A603A7" w:rsidRDefault="00A603A7" w:rsidP="006D5099">
      <w:pPr>
        <w:rPr>
          <w:b/>
          <w:bCs/>
          <w:color w:val="7F7F7F" w:themeColor="text1" w:themeTint="80"/>
          <w:sz w:val="22"/>
          <w:szCs w:val="22"/>
        </w:rPr>
      </w:pPr>
    </w:p>
    <w:p w:rsidR="00A603A7" w:rsidRPr="00A603A7" w:rsidRDefault="00A603A7" w:rsidP="006D5099">
      <w:pPr>
        <w:rPr>
          <w:b/>
          <w:bCs/>
          <w:color w:val="7F7F7F" w:themeColor="text1" w:themeTint="80"/>
          <w:sz w:val="22"/>
          <w:szCs w:val="22"/>
        </w:rPr>
      </w:pPr>
    </w:p>
    <w:p w:rsidR="0022493D" w:rsidRDefault="0022493D" w:rsidP="00E01FAD">
      <w:pPr>
        <w:pStyle w:val="Heading1"/>
        <w:jc w:val="both"/>
      </w:pPr>
      <w:bookmarkStart w:id="49" w:name="_Toc502239806"/>
      <w:r>
        <w:t>Appendix 5</w:t>
      </w:r>
      <w:bookmarkEnd w:id="49"/>
    </w:p>
    <w:p w:rsidR="00A603A7" w:rsidRPr="00A603A7" w:rsidRDefault="00A603A7" w:rsidP="00E01FAD">
      <w:pPr>
        <w:pStyle w:val="Heading2"/>
        <w:jc w:val="both"/>
      </w:pPr>
      <w:bookmarkStart w:id="50" w:name="_Toc502239807"/>
      <w:r w:rsidRPr="00A603A7">
        <w:t>Addendum wording for Pay Policy – Bradford Living Wage Allowance</w:t>
      </w:r>
      <w:bookmarkEnd w:id="50"/>
    </w:p>
    <w:p w:rsidR="00A603A7" w:rsidRPr="00A603A7" w:rsidRDefault="00A603A7" w:rsidP="00E01FAD">
      <w:pPr>
        <w:jc w:val="both"/>
        <w:rPr>
          <w:b/>
          <w:bCs/>
          <w:color w:val="7F7F7F" w:themeColor="text1" w:themeTint="80"/>
        </w:rPr>
      </w:pPr>
    </w:p>
    <w:p w:rsidR="00A603A7" w:rsidRPr="00A603A7" w:rsidRDefault="00A603A7" w:rsidP="00E01FAD">
      <w:pPr>
        <w:pStyle w:val="NoSpacing"/>
        <w:jc w:val="both"/>
        <w:rPr>
          <w:rFonts w:ascii="Arial" w:hAnsi="Arial" w:cs="Arial"/>
          <w:color w:val="7F7F7F" w:themeColor="text1" w:themeTint="80"/>
          <w:sz w:val="24"/>
          <w:szCs w:val="24"/>
        </w:rPr>
      </w:pPr>
      <w:r w:rsidRPr="00A603A7">
        <w:rPr>
          <w:rFonts w:ascii="Arial" w:hAnsi="Arial" w:cs="Arial"/>
          <w:color w:val="7F7F7F" w:themeColor="text1" w:themeTint="80"/>
          <w:sz w:val="24"/>
          <w:szCs w:val="24"/>
        </w:rPr>
        <w:t>This school has chosen to pay its support staff the Bradford Council Living Wage supplement on all contracted hours and any additional plain time hours worked up to 37 hours per week. From the 1</w:t>
      </w:r>
      <w:r w:rsidRPr="00A603A7">
        <w:rPr>
          <w:rFonts w:ascii="Arial" w:hAnsi="Arial" w:cs="Arial"/>
          <w:color w:val="7F7F7F" w:themeColor="text1" w:themeTint="80"/>
          <w:sz w:val="24"/>
          <w:szCs w:val="24"/>
          <w:vertAlign w:val="superscript"/>
        </w:rPr>
        <w:t>st</w:t>
      </w:r>
      <w:r w:rsidRPr="00A603A7">
        <w:rPr>
          <w:rFonts w:ascii="Arial" w:hAnsi="Arial" w:cs="Arial"/>
          <w:color w:val="7F7F7F" w:themeColor="text1" w:themeTint="80"/>
          <w:sz w:val="24"/>
          <w:szCs w:val="24"/>
        </w:rPr>
        <w:t xml:space="preserve"> April 2016, this will mean that those staff currently paid on SCP points 6, 7, 8 and 9 will be paid a supplement in addition to their basic hourly rate, that will take their overall hourly rate up to £7.85 per hour. The term time factor will be applied to employees who have a term time only contract of employment.</w:t>
      </w:r>
    </w:p>
    <w:p w:rsidR="00A603A7" w:rsidRPr="00A603A7" w:rsidRDefault="00A603A7" w:rsidP="00E01FAD">
      <w:pPr>
        <w:pStyle w:val="NoSpacing"/>
        <w:jc w:val="both"/>
        <w:rPr>
          <w:rFonts w:ascii="Arial" w:hAnsi="Arial" w:cs="Arial"/>
          <w:color w:val="7F7F7F" w:themeColor="text1" w:themeTint="80"/>
          <w:sz w:val="24"/>
          <w:szCs w:val="24"/>
        </w:rPr>
      </w:pPr>
    </w:p>
    <w:p w:rsidR="00A603A7" w:rsidRPr="00A603A7" w:rsidRDefault="00A603A7" w:rsidP="00E01FAD">
      <w:pPr>
        <w:pStyle w:val="NoSpacing"/>
        <w:jc w:val="both"/>
        <w:rPr>
          <w:rFonts w:ascii="Arial" w:hAnsi="Arial" w:cs="Arial"/>
          <w:color w:val="7F7F7F" w:themeColor="text1" w:themeTint="80"/>
          <w:sz w:val="24"/>
          <w:szCs w:val="24"/>
        </w:rPr>
      </w:pPr>
      <w:r w:rsidRPr="00A603A7">
        <w:rPr>
          <w:rFonts w:ascii="Arial" w:hAnsi="Arial" w:cs="Arial"/>
          <w:color w:val="7F7F7F" w:themeColor="text1" w:themeTint="80"/>
          <w:sz w:val="24"/>
          <w:szCs w:val="24"/>
        </w:rPr>
        <w:t>Any further increases in a member of staff’s basic hourly rate may mean that the subsequent supplement amount decreases or ceases where necessary.</w:t>
      </w:r>
    </w:p>
    <w:p w:rsidR="00A603A7" w:rsidRPr="00A603A7" w:rsidRDefault="00A603A7" w:rsidP="00E01FAD">
      <w:pPr>
        <w:pStyle w:val="NoSpacing"/>
        <w:jc w:val="both"/>
        <w:rPr>
          <w:rFonts w:ascii="Arial" w:hAnsi="Arial" w:cs="Arial"/>
          <w:color w:val="7F7F7F" w:themeColor="text1" w:themeTint="80"/>
          <w:sz w:val="24"/>
          <w:szCs w:val="24"/>
        </w:rPr>
      </w:pPr>
    </w:p>
    <w:p w:rsidR="00A603A7" w:rsidRPr="00A603A7" w:rsidRDefault="00A603A7" w:rsidP="00E01FAD">
      <w:pPr>
        <w:pStyle w:val="NoSpacing"/>
        <w:jc w:val="both"/>
        <w:rPr>
          <w:rFonts w:ascii="Arial" w:hAnsi="Arial" w:cs="Arial"/>
          <w:color w:val="7F7F7F" w:themeColor="text1" w:themeTint="80"/>
          <w:sz w:val="24"/>
          <w:szCs w:val="24"/>
        </w:rPr>
      </w:pPr>
      <w:r w:rsidRPr="00A603A7">
        <w:rPr>
          <w:rFonts w:ascii="Arial" w:hAnsi="Arial" w:cs="Arial"/>
          <w:color w:val="7F7F7F" w:themeColor="text1" w:themeTint="80"/>
          <w:sz w:val="24"/>
          <w:szCs w:val="24"/>
        </w:rPr>
        <w:t xml:space="preserve">The Council has not committed to make any future annual increases to the current level of living wage (£7.85 per hour). </w:t>
      </w:r>
    </w:p>
    <w:p w:rsidR="00A603A7" w:rsidRPr="00A603A7" w:rsidRDefault="00A603A7" w:rsidP="00E01FAD">
      <w:pPr>
        <w:pStyle w:val="NoSpacing"/>
        <w:jc w:val="both"/>
        <w:rPr>
          <w:rFonts w:ascii="Arial" w:hAnsi="Arial" w:cs="Arial"/>
          <w:color w:val="7F7F7F" w:themeColor="text1" w:themeTint="80"/>
          <w:sz w:val="24"/>
          <w:szCs w:val="24"/>
        </w:rPr>
      </w:pPr>
    </w:p>
    <w:p w:rsidR="00A603A7" w:rsidRPr="00A603A7" w:rsidRDefault="00A603A7" w:rsidP="00E01FAD">
      <w:pPr>
        <w:pStyle w:val="NoSpacing"/>
        <w:jc w:val="both"/>
        <w:rPr>
          <w:rFonts w:ascii="Arial" w:hAnsi="Arial" w:cs="Arial"/>
          <w:color w:val="7F7F7F" w:themeColor="text1" w:themeTint="80"/>
          <w:sz w:val="24"/>
          <w:szCs w:val="24"/>
        </w:rPr>
      </w:pPr>
      <w:r w:rsidRPr="00A603A7">
        <w:rPr>
          <w:rFonts w:ascii="Arial" w:hAnsi="Arial" w:cs="Arial"/>
          <w:color w:val="7F7F7F" w:themeColor="text1" w:themeTint="80"/>
          <w:sz w:val="24"/>
          <w:szCs w:val="24"/>
        </w:rPr>
        <w:t>The pay and grading structure implemented in schools in 2013/14 is not affected as this will be paid as a supplement.</w:t>
      </w:r>
    </w:p>
    <w:p w:rsidR="00A603A7" w:rsidRPr="00A603A7" w:rsidRDefault="00A603A7" w:rsidP="00E01FAD">
      <w:pPr>
        <w:pStyle w:val="NoSpacing"/>
        <w:jc w:val="both"/>
        <w:rPr>
          <w:rFonts w:ascii="Arial" w:hAnsi="Arial" w:cs="Arial"/>
          <w:color w:val="7F7F7F" w:themeColor="text1" w:themeTint="80"/>
          <w:sz w:val="24"/>
          <w:szCs w:val="24"/>
        </w:rPr>
      </w:pPr>
    </w:p>
    <w:p w:rsidR="00A603A7" w:rsidRPr="00A603A7" w:rsidRDefault="00A603A7" w:rsidP="00E01FAD">
      <w:pPr>
        <w:pStyle w:val="NoSpacing"/>
        <w:jc w:val="both"/>
        <w:rPr>
          <w:rFonts w:ascii="Arial" w:hAnsi="Arial" w:cs="Arial"/>
          <w:color w:val="7F7F7F" w:themeColor="text1" w:themeTint="80"/>
          <w:sz w:val="24"/>
          <w:szCs w:val="24"/>
        </w:rPr>
      </w:pPr>
      <w:r w:rsidRPr="00A603A7">
        <w:rPr>
          <w:rFonts w:ascii="Arial" w:hAnsi="Arial" w:cs="Arial"/>
          <w:color w:val="7F7F7F" w:themeColor="text1" w:themeTint="80"/>
          <w:sz w:val="24"/>
          <w:szCs w:val="24"/>
        </w:rPr>
        <w:t>The introduction of a new compulsory National Living Wage from 1 April 2016 has no effect on the Council resolution.</w:t>
      </w:r>
    </w:p>
    <w:p w:rsidR="00A603A7" w:rsidRPr="00A603A7" w:rsidRDefault="00A603A7" w:rsidP="00E01FAD">
      <w:pPr>
        <w:pStyle w:val="NoSpacing"/>
        <w:jc w:val="both"/>
        <w:rPr>
          <w:rFonts w:ascii="Arial" w:hAnsi="Arial" w:cs="Arial"/>
          <w:color w:val="7F7F7F" w:themeColor="text1" w:themeTint="80"/>
          <w:sz w:val="24"/>
          <w:szCs w:val="24"/>
        </w:rPr>
      </w:pPr>
    </w:p>
    <w:p w:rsidR="00A603A7" w:rsidRDefault="00A603A7" w:rsidP="00E01FAD">
      <w:pPr>
        <w:pStyle w:val="NoSpacing"/>
        <w:jc w:val="both"/>
        <w:rPr>
          <w:rFonts w:ascii="Arial" w:hAnsi="Arial" w:cs="Arial"/>
          <w:color w:val="7F7F7F" w:themeColor="text1" w:themeTint="80"/>
          <w:sz w:val="24"/>
          <w:szCs w:val="24"/>
        </w:rPr>
      </w:pPr>
      <w:r w:rsidRPr="00A603A7">
        <w:rPr>
          <w:rFonts w:ascii="Arial" w:hAnsi="Arial" w:cs="Arial"/>
          <w:color w:val="7F7F7F" w:themeColor="text1" w:themeTint="80"/>
          <w:sz w:val="24"/>
          <w:szCs w:val="24"/>
        </w:rPr>
        <w:t>Any future annual pay increases agreed nationally will be advised to schools in the normal way.</w:t>
      </w:r>
    </w:p>
    <w:p w:rsidR="00A603A7" w:rsidRPr="00A603A7" w:rsidRDefault="00A603A7" w:rsidP="00E01FAD">
      <w:pPr>
        <w:pStyle w:val="NoSpacing"/>
        <w:jc w:val="both"/>
        <w:rPr>
          <w:rFonts w:ascii="Arial" w:hAnsi="Arial" w:cs="Arial"/>
          <w:color w:val="7F7F7F" w:themeColor="text1" w:themeTint="80"/>
          <w:sz w:val="24"/>
          <w:szCs w:val="24"/>
        </w:rPr>
      </w:pPr>
    </w:p>
    <w:tbl>
      <w:tblPr>
        <w:tblStyle w:val="TableGrid"/>
        <w:tblW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536"/>
      </w:tblGrid>
      <w:tr w:rsidR="00A603A7" w:rsidTr="006D5099">
        <w:tc>
          <w:tcPr>
            <w:tcW w:w="1526" w:type="dxa"/>
          </w:tcPr>
          <w:p w:rsidR="00A603A7" w:rsidRDefault="00A603A7" w:rsidP="00E01FAD">
            <w:pPr>
              <w:jc w:val="both"/>
              <w:rPr>
                <w:color w:val="7F7F7F" w:themeColor="text1" w:themeTint="80"/>
              </w:rPr>
            </w:pPr>
            <w:r w:rsidRPr="00A603A7">
              <w:rPr>
                <w:color w:val="7F7F7F" w:themeColor="text1" w:themeTint="80"/>
              </w:rPr>
              <w:t>Signed:</w:t>
            </w:r>
          </w:p>
        </w:tc>
        <w:tc>
          <w:tcPr>
            <w:tcW w:w="4536" w:type="dxa"/>
            <w:tcBorders>
              <w:bottom w:val="single" w:sz="4" w:space="0" w:color="7F7F7F" w:themeColor="text1" w:themeTint="80"/>
            </w:tcBorders>
          </w:tcPr>
          <w:p w:rsidR="00A603A7" w:rsidRDefault="00A603A7" w:rsidP="00E01FAD">
            <w:pPr>
              <w:ind w:right="509"/>
              <w:jc w:val="both"/>
              <w:rPr>
                <w:color w:val="7F7F7F" w:themeColor="text1" w:themeTint="80"/>
              </w:rPr>
            </w:pPr>
          </w:p>
        </w:tc>
      </w:tr>
      <w:tr w:rsidR="00A603A7" w:rsidTr="006D5099">
        <w:tc>
          <w:tcPr>
            <w:tcW w:w="1526" w:type="dxa"/>
          </w:tcPr>
          <w:p w:rsidR="00A603A7" w:rsidRDefault="00A603A7" w:rsidP="00E01FAD">
            <w:pPr>
              <w:jc w:val="both"/>
              <w:rPr>
                <w:color w:val="7F7F7F" w:themeColor="text1" w:themeTint="80"/>
              </w:rPr>
            </w:pPr>
          </w:p>
        </w:tc>
        <w:tc>
          <w:tcPr>
            <w:tcW w:w="4536" w:type="dxa"/>
            <w:tcBorders>
              <w:top w:val="single" w:sz="4" w:space="0" w:color="7F7F7F" w:themeColor="text1" w:themeTint="80"/>
            </w:tcBorders>
          </w:tcPr>
          <w:p w:rsidR="00A603A7" w:rsidRDefault="00A603A7" w:rsidP="00E01FAD">
            <w:pPr>
              <w:pStyle w:val="NoSpacing"/>
              <w:ind w:right="509"/>
              <w:jc w:val="both"/>
              <w:rPr>
                <w:rFonts w:ascii="Arial" w:hAnsi="Arial" w:cs="Arial"/>
                <w:color w:val="7F7F7F" w:themeColor="text1" w:themeTint="80"/>
                <w:sz w:val="24"/>
                <w:szCs w:val="24"/>
              </w:rPr>
            </w:pPr>
          </w:p>
          <w:p w:rsidR="00A603A7" w:rsidRPr="00A603A7" w:rsidRDefault="00A603A7" w:rsidP="00E01FAD">
            <w:pPr>
              <w:pStyle w:val="NoSpacing"/>
              <w:ind w:left="-108" w:right="-108"/>
              <w:jc w:val="both"/>
              <w:rPr>
                <w:rFonts w:ascii="Arial" w:hAnsi="Arial" w:cs="Arial"/>
                <w:color w:val="7F7F7F" w:themeColor="text1" w:themeTint="80"/>
                <w:sz w:val="24"/>
                <w:szCs w:val="24"/>
              </w:rPr>
            </w:pPr>
            <w:r w:rsidRPr="00A603A7">
              <w:rPr>
                <w:rFonts w:ascii="Arial" w:hAnsi="Arial" w:cs="Arial"/>
                <w:color w:val="7F7F7F" w:themeColor="text1" w:themeTint="80"/>
                <w:sz w:val="24"/>
                <w:szCs w:val="24"/>
              </w:rPr>
              <w:t xml:space="preserve">on behalf of the school’s </w:t>
            </w:r>
            <w:r w:rsidR="00A34DEE">
              <w:rPr>
                <w:rFonts w:ascii="Arial" w:hAnsi="Arial" w:cs="Arial"/>
                <w:color w:val="7F7F7F" w:themeColor="text1" w:themeTint="80"/>
                <w:sz w:val="24"/>
                <w:szCs w:val="24"/>
              </w:rPr>
              <w:t>Governing Body/Trust Board</w:t>
            </w:r>
          </w:p>
        </w:tc>
      </w:tr>
    </w:tbl>
    <w:p w:rsidR="00A603A7" w:rsidRPr="00A603A7" w:rsidRDefault="00A603A7" w:rsidP="00E01FAD">
      <w:pPr>
        <w:ind w:right="509"/>
        <w:jc w:val="both"/>
        <w:rPr>
          <w:color w:val="7F7F7F" w:themeColor="text1" w:themeTint="80"/>
        </w:rPr>
      </w:pPr>
    </w:p>
    <w:p w:rsidR="00A603A7" w:rsidRDefault="00A603A7" w:rsidP="00E01FAD">
      <w:pPr>
        <w:jc w:val="both"/>
        <w:rPr>
          <w:color w:val="7F7F7F" w:themeColor="text1" w:themeTint="80"/>
        </w:rPr>
      </w:pPr>
    </w:p>
    <w:p w:rsidR="00A603A7" w:rsidRDefault="00A603A7" w:rsidP="00E01FAD">
      <w:pPr>
        <w:jc w:val="both"/>
        <w:rPr>
          <w:color w:val="7F7F7F" w:themeColor="text1" w:themeTint="80"/>
        </w:rPr>
      </w:pPr>
    </w:p>
    <w:p w:rsidR="00A603A7" w:rsidRDefault="00A603A7" w:rsidP="006D5099">
      <w:pPr>
        <w:rPr>
          <w:color w:val="7F7F7F" w:themeColor="text1" w:themeTint="80"/>
        </w:rPr>
      </w:pPr>
    </w:p>
    <w:p w:rsidR="00A603A7" w:rsidRDefault="00A603A7" w:rsidP="006D5099">
      <w:pPr>
        <w:rPr>
          <w:color w:val="7F7F7F" w:themeColor="text1" w:themeTint="80"/>
        </w:rPr>
      </w:pPr>
    </w:p>
    <w:p w:rsidR="00A603A7" w:rsidRDefault="00A603A7" w:rsidP="006D5099">
      <w:pPr>
        <w:rPr>
          <w:color w:val="7F7F7F" w:themeColor="text1" w:themeTint="80"/>
        </w:rPr>
      </w:pPr>
    </w:p>
    <w:p w:rsidR="00A603A7" w:rsidRDefault="00A603A7" w:rsidP="006D5099">
      <w:pPr>
        <w:rPr>
          <w:color w:val="7F7F7F" w:themeColor="text1" w:themeTint="80"/>
        </w:rPr>
      </w:pPr>
    </w:p>
    <w:p w:rsidR="00A603A7" w:rsidRDefault="00A603A7" w:rsidP="006D5099">
      <w:pPr>
        <w:rPr>
          <w:color w:val="7F7F7F" w:themeColor="text1" w:themeTint="80"/>
        </w:rPr>
      </w:pPr>
    </w:p>
    <w:p w:rsidR="00A603A7" w:rsidRDefault="00A603A7" w:rsidP="006D5099">
      <w:pPr>
        <w:rPr>
          <w:color w:val="7F7F7F" w:themeColor="text1" w:themeTint="80"/>
        </w:rPr>
      </w:pPr>
    </w:p>
    <w:p w:rsidR="00A603A7" w:rsidRDefault="00A603A7" w:rsidP="006D5099">
      <w:pPr>
        <w:rPr>
          <w:color w:val="7F7F7F" w:themeColor="text1" w:themeTint="80"/>
        </w:rPr>
      </w:pPr>
    </w:p>
    <w:p w:rsidR="00A603A7" w:rsidRDefault="00A603A7" w:rsidP="006D5099">
      <w:pPr>
        <w:rPr>
          <w:color w:val="7F7F7F" w:themeColor="text1" w:themeTint="80"/>
        </w:rPr>
      </w:pPr>
    </w:p>
    <w:p w:rsidR="00A603A7" w:rsidRDefault="00A603A7" w:rsidP="006D5099">
      <w:pPr>
        <w:rPr>
          <w:color w:val="7F7F7F" w:themeColor="text1" w:themeTint="80"/>
        </w:rPr>
      </w:pPr>
    </w:p>
    <w:p w:rsidR="00A603A7" w:rsidRPr="00A603A7" w:rsidRDefault="00A603A7" w:rsidP="006D5099">
      <w:pPr>
        <w:rPr>
          <w:color w:val="7F7F7F" w:themeColor="text1" w:themeTint="80"/>
        </w:rPr>
      </w:pPr>
    </w:p>
    <w:p w:rsidR="001202C5" w:rsidRDefault="001202C5" w:rsidP="006D5099">
      <w:pPr>
        <w:pStyle w:val="Default"/>
        <w:rPr>
          <w:b/>
          <w:bCs/>
          <w:caps/>
          <w:color w:val="7F7F7F" w:themeColor="text1" w:themeTint="80"/>
          <w:sz w:val="12"/>
          <w:szCs w:val="22"/>
        </w:rPr>
      </w:pPr>
    </w:p>
    <w:p w:rsidR="001202C5" w:rsidRPr="001663CA" w:rsidRDefault="001202C5" w:rsidP="006D5099">
      <w:pPr>
        <w:pStyle w:val="Default"/>
        <w:rPr>
          <w:color w:val="7F7F7F" w:themeColor="text1" w:themeTint="80"/>
          <w:sz w:val="12"/>
          <w:szCs w:val="22"/>
        </w:rPr>
      </w:pPr>
      <w:r w:rsidRPr="001663CA">
        <w:rPr>
          <w:b/>
          <w:bCs/>
          <w:caps/>
          <w:color w:val="7F7F7F" w:themeColor="text1" w:themeTint="80"/>
          <w:sz w:val="12"/>
          <w:szCs w:val="22"/>
        </w:rPr>
        <w:t xml:space="preserve">Copyright </w:t>
      </w:r>
      <w:r w:rsidRPr="001663CA">
        <w:rPr>
          <w:color w:val="7F7F7F" w:themeColor="text1" w:themeTint="80"/>
          <w:sz w:val="12"/>
          <w:szCs w:val="22"/>
        </w:rPr>
        <w:t>© 201</w:t>
      </w:r>
      <w:r w:rsidR="005572B8">
        <w:rPr>
          <w:color w:val="7F7F7F" w:themeColor="text1" w:themeTint="80"/>
          <w:sz w:val="12"/>
          <w:szCs w:val="22"/>
        </w:rPr>
        <w:t>7</w:t>
      </w:r>
      <w:r w:rsidRPr="001663CA">
        <w:rPr>
          <w:color w:val="7F7F7F" w:themeColor="text1" w:themeTint="80"/>
          <w:sz w:val="12"/>
          <w:szCs w:val="22"/>
        </w:rPr>
        <w:t xml:space="preserve"> City of Bradford Metropolitan District Council, City Hall, Bradford, West Yorkshire, BD1 1HY. </w:t>
      </w:r>
    </w:p>
    <w:p w:rsidR="001202C5" w:rsidRPr="00DA437D" w:rsidRDefault="001202C5" w:rsidP="006D5099">
      <w:pPr>
        <w:pStyle w:val="Default"/>
        <w:rPr>
          <w:color w:val="7F7F7F" w:themeColor="text1" w:themeTint="80"/>
          <w:sz w:val="10"/>
          <w:szCs w:val="22"/>
        </w:rPr>
      </w:pPr>
    </w:p>
    <w:p w:rsidR="001202C5" w:rsidRPr="001663CA" w:rsidRDefault="001202C5" w:rsidP="006D5099">
      <w:pPr>
        <w:pStyle w:val="Default"/>
        <w:rPr>
          <w:color w:val="7F7F7F" w:themeColor="text1" w:themeTint="80"/>
          <w:sz w:val="12"/>
          <w:szCs w:val="22"/>
        </w:rPr>
      </w:pPr>
      <w:r w:rsidRPr="001663CA">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9" w:history="1">
        <w:r w:rsidRPr="001663CA">
          <w:rPr>
            <w:rStyle w:val="Hyperlink"/>
            <w:color w:val="7F7F7F" w:themeColor="text1" w:themeTint="80"/>
            <w:sz w:val="12"/>
            <w:szCs w:val="22"/>
          </w:rPr>
          <w:t>pact-hr@bradford.gov.uk</w:t>
        </w:r>
      </w:hyperlink>
      <w:r w:rsidRPr="001663CA">
        <w:rPr>
          <w:color w:val="7F7F7F" w:themeColor="text1" w:themeTint="80"/>
          <w:sz w:val="12"/>
          <w:szCs w:val="22"/>
        </w:rPr>
        <w:t xml:space="preserve"> . </w:t>
      </w:r>
    </w:p>
    <w:p w:rsidR="001202C5" w:rsidRPr="00DA437D" w:rsidRDefault="001202C5" w:rsidP="006D5099">
      <w:pPr>
        <w:pStyle w:val="Default"/>
        <w:rPr>
          <w:color w:val="7F7F7F" w:themeColor="text1" w:themeTint="80"/>
          <w:sz w:val="10"/>
          <w:szCs w:val="22"/>
        </w:rPr>
      </w:pPr>
    </w:p>
    <w:p w:rsidR="001202C5" w:rsidRPr="00701956" w:rsidRDefault="001202C5" w:rsidP="006D5099">
      <w:pPr>
        <w:pStyle w:val="Default"/>
      </w:pPr>
      <w:r w:rsidRPr="001663CA">
        <w:rPr>
          <w:b/>
          <w:color w:val="7F7F7F" w:themeColor="text1" w:themeTint="80"/>
          <w:sz w:val="12"/>
          <w:szCs w:val="22"/>
        </w:rPr>
        <w:t xml:space="preserve">Warning: To perform an unauthorised act in relation to a copyright work may result in both a civil claim for damages and criminal prosecution. </w:t>
      </w:r>
    </w:p>
    <w:p w:rsidR="00DB0D03" w:rsidRPr="00DB0D03" w:rsidRDefault="00DB0D03" w:rsidP="006D5099">
      <w:pPr>
        <w:rPr>
          <w:rFonts w:eastAsiaTheme="majorEastAsia"/>
        </w:rPr>
      </w:pPr>
    </w:p>
    <w:sectPr w:rsidR="00DB0D03" w:rsidRPr="00DB0D03" w:rsidSect="0022493D">
      <w:footerReference w:type="even" r:id="rId10"/>
      <w:footerReference w:type="default" r:id="rId11"/>
      <w:pgSz w:w="11900" w:h="16840"/>
      <w:pgMar w:top="1134" w:right="1127" w:bottom="156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38" w:rsidRDefault="00834838" w:rsidP="00D63739">
      <w:r>
        <w:separator/>
      </w:r>
    </w:p>
  </w:endnote>
  <w:endnote w:type="continuationSeparator" w:id="0">
    <w:p w:rsidR="00834838" w:rsidRDefault="00834838" w:rsidP="00D6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tone Sans">
    <w:altName w:val="Stone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AD" w:rsidRDefault="00E01FAD" w:rsidP="00D637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01FAD" w:rsidRDefault="00E01FAD" w:rsidP="00D637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46061"/>
      <w:docPartObj>
        <w:docPartGallery w:val="Page Numbers (Bottom of Page)"/>
        <w:docPartUnique/>
      </w:docPartObj>
    </w:sdtPr>
    <w:sdtEndPr>
      <w:rPr>
        <w:noProof/>
      </w:rPr>
    </w:sdtEndPr>
    <w:sdtContent>
      <w:p w:rsidR="00E01FAD" w:rsidRDefault="00E01FAD" w:rsidP="009F6345">
        <w:pPr>
          <w:pStyle w:val="Footer"/>
          <w:ind w:right="360"/>
        </w:pPr>
        <w:r w:rsidRPr="00B06D3E">
          <w:rPr>
            <w:b/>
            <w:noProof/>
            <w:color w:val="A6A6A6" w:themeColor="background1" w:themeShade="A6"/>
            <w:lang w:eastAsia="en-GB"/>
          </w:rPr>
          <mc:AlternateContent>
            <mc:Choice Requires="wps">
              <w:drawing>
                <wp:anchor distT="0" distB="0" distL="114300" distR="114300" simplePos="0" relativeHeight="251659264" behindDoc="0" locked="0" layoutInCell="1" allowOverlap="1" wp14:anchorId="62BB1936" wp14:editId="3EC30E79">
                  <wp:simplePos x="0" y="0"/>
                  <wp:positionH relativeFrom="column">
                    <wp:posOffset>-800100</wp:posOffset>
                  </wp:positionH>
                  <wp:positionV relativeFrom="paragraph">
                    <wp:posOffset>-16289</wp:posOffset>
                  </wp:positionV>
                  <wp:extent cx="6858000"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28575" cmpd="sng">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3C7F0"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" strokecolor="#a5a5a5 [2092]" strokeweight="2.25pt"/>
              </w:pict>
            </mc:Fallback>
          </mc:AlternateContent>
        </w:r>
        <w:r w:rsidRPr="00B06D3E">
          <w:rPr>
            <w:b/>
            <w:noProof/>
            <w:color w:val="A6A6A6" w:themeColor="background1" w:themeShade="A6"/>
            <w:lang w:eastAsia="en-GB"/>
          </w:rPr>
          <w:drawing>
            <wp:anchor distT="0" distB="0" distL="114300" distR="114300" simplePos="0" relativeHeight="251660288" behindDoc="0" locked="0" layoutInCell="1" allowOverlap="1" wp14:anchorId="5C0F1A56" wp14:editId="4A72420A">
              <wp:simplePos x="0" y="0"/>
              <wp:positionH relativeFrom="column">
                <wp:posOffset>-800735</wp:posOffset>
              </wp:positionH>
              <wp:positionV relativeFrom="paragraph">
                <wp:posOffset>50800</wp:posOffset>
              </wp:positionV>
              <wp:extent cx="1202055" cy="457200"/>
              <wp:effectExtent l="0" t="0" r="0" b="0"/>
              <wp:wrapTight wrapText="bothSides">
                <wp:wrapPolygon edited="0">
                  <wp:start x="0" y="0"/>
                  <wp:lineTo x="0" y="20400"/>
                  <wp:lineTo x="20995" y="20400"/>
                  <wp:lineTo x="20995" y="0"/>
                  <wp:lineTo x="0" y="0"/>
                </wp:wrapPolygon>
              </wp:wrapTight>
              <wp:docPr id="14" name="Picture 14" descr="Macintosh HD:private:var:folders:26:m_4cqvw12j7fv17plsnfvhmr0000gq:T:TemporaryItems:PactH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26:m_4cqvw12j7fv17plsnfvhmr0000gq:T:TemporaryItems:PactHR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6A6A6" w:themeColor="background1" w:themeShade="A6"/>
          </w:rPr>
          <w:t xml:space="preserve">           </w:t>
        </w:r>
        <w:r>
          <w:rPr>
            <w:b/>
            <w:color w:val="A6A6A6" w:themeColor="background1" w:themeShade="A6"/>
          </w:rPr>
          <w:br/>
          <w:t xml:space="preserve">              </w:t>
        </w:r>
        <w:r w:rsidRPr="00B06D3E">
          <w:rPr>
            <w:b/>
            <w:color w:val="A6A6A6" w:themeColor="background1" w:themeShade="A6"/>
          </w:rPr>
          <w:t>T</w:t>
        </w:r>
        <w:r w:rsidRPr="00B06D3E">
          <w:rPr>
            <w:color w:val="A6A6A6" w:themeColor="background1" w:themeShade="A6"/>
          </w:rPr>
          <w:t xml:space="preserve">: 01274 436644 </w:t>
        </w:r>
        <w:r>
          <w:rPr>
            <w:color w:val="A6A6A6" w:themeColor="background1" w:themeShade="A6"/>
          </w:rPr>
          <w:t xml:space="preserve">  </w:t>
        </w:r>
        <w:r w:rsidRPr="00B06D3E">
          <w:rPr>
            <w:b/>
            <w:color w:val="A6A6A6" w:themeColor="background1" w:themeShade="A6"/>
          </w:rPr>
          <w:t>W</w:t>
        </w:r>
        <w:r w:rsidRPr="00B06D3E">
          <w:rPr>
            <w:color w:val="A6A6A6" w:themeColor="background1" w:themeShade="A6"/>
          </w:rPr>
          <w:t>:pact-hr.co.uk</w:t>
        </w:r>
        <w:r>
          <w:rPr>
            <w:color w:val="A6A6A6" w:themeColor="background1" w:themeShade="A6"/>
          </w:rPr>
          <w:t xml:space="preserve">               </w:t>
        </w:r>
        <w:r w:rsidRPr="00156557">
          <w:rPr>
            <w:color w:val="A6A6A6" w:themeColor="background1" w:themeShade="A6"/>
            <w:sz w:val="16"/>
            <w:szCs w:val="22"/>
            <w:lang w:val="en-US"/>
          </w:rPr>
          <w:t>Copyright © 201</w:t>
        </w:r>
        <w:r w:rsidR="005572B8">
          <w:rPr>
            <w:color w:val="A6A6A6" w:themeColor="background1" w:themeShade="A6"/>
            <w:sz w:val="16"/>
            <w:szCs w:val="22"/>
            <w:lang w:val="en-US"/>
          </w:rPr>
          <w:t>7</w:t>
        </w:r>
        <w:r w:rsidRPr="00156557">
          <w:rPr>
            <w:color w:val="A6A6A6" w:themeColor="background1" w:themeShade="A6"/>
            <w:sz w:val="16"/>
            <w:szCs w:val="22"/>
            <w:lang w:val="en-US"/>
          </w:rPr>
          <w:t xml:space="preserve"> PACT HR</w:t>
        </w:r>
        <w:r>
          <w:rPr>
            <w:color w:val="A6A6A6" w:themeColor="background1" w:themeShade="A6"/>
            <w:sz w:val="16"/>
            <w:szCs w:val="22"/>
            <w:lang w:val="en-US"/>
          </w:rPr>
          <w:tab/>
        </w:r>
        <w:r>
          <w:rPr>
            <w:color w:val="A6A6A6" w:themeColor="background1" w:themeShade="A6"/>
            <w:sz w:val="16"/>
            <w:szCs w:val="22"/>
            <w:lang w:val="en-US"/>
          </w:rPr>
          <w:tab/>
        </w:r>
        <w:r>
          <w:fldChar w:fldCharType="begin"/>
        </w:r>
        <w:r>
          <w:instrText xml:space="preserve"> PAGE   \* MERGEFORMAT </w:instrText>
        </w:r>
        <w:r>
          <w:fldChar w:fldCharType="separate"/>
        </w:r>
        <w:r w:rsidR="00A6375E">
          <w:rPr>
            <w:noProof/>
          </w:rPr>
          <w:t>2</w:t>
        </w:r>
        <w:r>
          <w:rPr>
            <w:noProof/>
          </w:rPr>
          <w:fldChar w:fldCharType="end"/>
        </w:r>
      </w:p>
    </w:sdtContent>
  </w:sdt>
  <w:p w:rsidR="00E01FAD" w:rsidRPr="009F6345" w:rsidRDefault="00E01FAD" w:rsidP="009F6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38" w:rsidRDefault="00834838" w:rsidP="00D63739">
      <w:r>
        <w:separator/>
      </w:r>
    </w:p>
  </w:footnote>
  <w:footnote w:type="continuationSeparator" w:id="0">
    <w:p w:rsidR="00834838" w:rsidRDefault="00834838" w:rsidP="00D637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DC0"/>
    <w:multiLevelType w:val="hybridMultilevel"/>
    <w:tmpl w:val="EBBE8BB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14D5D"/>
    <w:multiLevelType w:val="hybridMultilevel"/>
    <w:tmpl w:val="4FCEF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80934"/>
    <w:multiLevelType w:val="hybridMultilevel"/>
    <w:tmpl w:val="A212F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85E75"/>
    <w:multiLevelType w:val="hybridMultilevel"/>
    <w:tmpl w:val="E7184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773E5"/>
    <w:multiLevelType w:val="hybridMultilevel"/>
    <w:tmpl w:val="F864C13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09C57F97"/>
    <w:multiLevelType w:val="hybridMultilevel"/>
    <w:tmpl w:val="2DDEF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858B4"/>
    <w:multiLevelType w:val="multilevel"/>
    <w:tmpl w:val="01FA303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CB6C77"/>
    <w:multiLevelType w:val="multilevel"/>
    <w:tmpl w:val="D6700E1E"/>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7F70320"/>
    <w:multiLevelType w:val="hybridMultilevel"/>
    <w:tmpl w:val="31980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C67C0"/>
    <w:multiLevelType w:val="hybridMultilevel"/>
    <w:tmpl w:val="DEDC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D38F9"/>
    <w:multiLevelType w:val="hybridMultilevel"/>
    <w:tmpl w:val="C764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D4FA4"/>
    <w:multiLevelType w:val="hybridMultilevel"/>
    <w:tmpl w:val="00924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45A0E"/>
    <w:multiLevelType w:val="hybridMultilevel"/>
    <w:tmpl w:val="B66CD278"/>
    <w:lvl w:ilvl="0" w:tplc="FCDE6D8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768CA"/>
    <w:multiLevelType w:val="hybridMultilevel"/>
    <w:tmpl w:val="8068B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634E0"/>
    <w:multiLevelType w:val="hybridMultilevel"/>
    <w:tmpl w:val="85E0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514F6"/>
    <w:multiLevelType w:val="hybridMultilevel"/>
    <w:tmpl w:val="B2D29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243C38"/>
    <w:multiLevelType w:val="hybridMultilevel"/>
    <w:tmpl w:val="EF46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B665B"/>
    <w:multiLevelType w:val="hybridMultilevel"/>
    <w:tmpl w:val="E96A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86F1B"/>
    <w:multiLevelType w:val="hybridMultilevel"/>
    <w:tmpl w:val="5590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D04F3"/>
    <w:multiLevelType w:val="hybridMultilevel"/>
    <w:tmpl w:val="713A1EB4"/>
    <w:lvl w:ilvl="0" w:tplc="BB9036FA">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BA5411"/>
    <w:multiLevelType w:val="hybridMultilevel"/>
    <w:tmpl w:val="A886C86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D62CDD"/>
    <w:multiLevelType w:val="hybridMultilevel"/>
    <w:tmpl w:val="9552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42393"/>
    <w:multiLevelType w:val="hybridMultilevel"/>
    <w:tmpl w:val="9CB8CA2A"/>
    <w:lvl w:ilvl="0" w:tplc="546C4C1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1161B63"/>
    <w:multiLevelType w:val="hybridMultilevel"/>
    <w:tmpl w:val="ACF0ECA6"/>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24" w15:restartNumberingAfterBreak="0">
    <w:nsid w:val="72AC797B"/>
    <w:multiLevelType w:val="hybridMultilevel"/>
    <w:tmpl w:val="E766E5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054BAF"/>
    <w:multiLevelType w:val="hybridMultilevel"/>
    <w:tmpl w:val="98D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10B69"/>
    <w:multiLevelType w:val="hybridMultilevel"/>
    <w:tmpl w:val="FB5E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2"/>
  </w:num>
  <w:num w:numId="4">
    <w:abstractNumId w:val="15"/>
  </w:num>
  <w:num w:numId="5">
    <w:abstractNumId w:val="5"/>
  </w:num>
  <w:num w:numId="6">
    <w:abstractNumId w:val="24"/>
  </w:num>
  <w:num w:numId="7">
    <w:abstractNumId w:val="3"/>
  </w:num>
  <w:num w:numId="8">
    <w:abstractNumId w:val="11"/>
  </w:num>
  <w:num w:numId="9">
    <w:abstractNumId w:val="1"/>
  </w:num>
  <w:num w:numId="10">
    <w:abstractNumId w:val="20"/>
  </w:num>
  <w:num w:numId="11">
    <w:abstractNumId w:val="8"/>
  </w:num>
  <w:num w:numId="12">
    <w:abstractNumId w:val="23"/>
  </w:num>
  <w:num w:numId="13">
    <w:abstractNumId w:val="2"/>
  </w:num>
  <w:num w:numId="14">
    <w:abstractNumId w:val="13"/>
  </w:num>
  <w:num w:numId="15">
    <w:abstractNumId w:val="25"/>
  </w:num>
  <w:num w:numId="16">
    <w:abstractNumId w:val="0"/>
  </w:num>
  <w:num w:numId="17">
    <w:abstractNumId w:val="12"/>
  </w:num>
  <w:num w:numId="18">
    <w:abstractNumId w:val="26"/>
  </w:num>
  <w:num w:numId="19">
    <w:abstractNumId w:val="21"/>
  </w:num>
  <w:num w:numId="20">
    <w:abstractNumId w:val="17"/>
  </w:num>
  <w:num w:numId="21">
    <w:abstractNumId w:val="18"/>
  </w:num>
  <w:num w:numId="22">
    <w:abstractNumId w:val="10"/>
  </w:num>
  <w:num w:numId="23">
    <w:abstractNumId w:val="16"/>
  </w:num>
  <w:num w:numId="24">
    <w:abstractNumId w:val="19"/>
  </w:num>
  <w:num w:numId="25">
    <w:abstractNumId w:val="9"/>
  </w:num>
  <w:num w:numId="26">
    <w:abstractNumId w:val="1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C5"/>
    <w:rsid w:val="000048AC"/>
    <w:rsid w:val="000436AB"/>
    <w:rsid w:val="00077793"/>
    <w:rsid w:val="00083E20"/>
    <w:rsid w:val="000949EB"/>
    <w:rsid w:val="000A24A2"/>
    <w:rsid w:val="000A7086"/>
    <w:rsid w:val="000B5F52"/>
    <w:rsid w:val="001202C5"/>
    <w:rsid w:val="00175302"/>
    <w:rsid w:val="00181098"/>
    <w:rsid w:val="001815B7"/>
    <w:rsid w:val="001E7AF4"/>
    <w:rsid w:val="00206EAB"/>
    <w:rsid w:val="0022493D"/>
    <w:rsid w:val="0026482B"/>
    <w:rsid w:val="002A3973"/>
    <w:rsid w:val="002A49B4"/>
    <w:rsid w:val="002E17FD"/>
    <w:rsid w:val="00305995"/>
    <w:rsid w:val="00305E12"/>
    <w:rsid w:val="0031700A"/>
    <w:rsid w:val="0036131B"/>
    <w:rsid w:val="0036193B"/>
    <w:rsid w:val="00364855"/>
    <w:rsid w:val="00380DE4"/>
    <w:rsid w:val="003E3BAD"/>
    <w:rsid w:val="00443665"/>
    <w:rsid w:val="004E1FBE"/>
    <w:rsid w:val="004E63A0"/>
    <w:rsid w:val="00536FEC"/>
    <w:rsid w:val="00545973"/>
    <w:rsid w:val="005572B8"/>
    <w:rsid w:val="005910E3"/>
    <w:rsid w:val="005A0E49"/>
    <w:rsid w:val="00616CC0"/>
    <w:rsid w:val="006220CA"/>
    <w:rsid w:val="00646988"/>
    <w:rsid w:val="0065525E"/>
    <w:rsid w:val="0069256F"/>
    <w:rsid w:val="006C6F64"/>
    <w:rsid w:val="006D5099"/>
    <w:rsid w:val="006E186A"/>
    <w:rsid w:val="00701956"/>
    <w:rsid w:val="007034EE"/>
    <w:rsid w:val="007064E6"/>
    <w:rsid w:val="007311C2"/>
    <w:rsid w:val="00787EA6"/>
    <w:rsid w:val="007F2C21"/>
    <w:rsid w:val="008340AD"/>
    <w:rsid w:val="00834838"/>
    <w:rsid w:val="008876FD"/>
    <w:rsid w:val="00895300"/>
    <w:rsid w:val="008D2513"/>
    <w:rsid w:val="008F4B22"/>
    <w:rsid w:val="00906665"/>
    <w:rsid w:val="0094500E"/>
    <w:rsid w:val="00947582"/>
    <w:rsid w:val="00957164"/>
    <w:rsid w:val="009E11B2"/>
    <w:rsid w:val="009F6345"/>
    <w:rsid w:val="00A30BA7"/>
    <w:rsid w:val="00A34DEE"/>
    <w:rsid w:val="00A52082"/>
    <w:rsid w:val="00A603A7"/>
    <w:rsid w:val="00A6375E"/>
    <w:rsid w:val="00A64B24"/>
    <w:rsid w:val="00A75A5E"/>
    <w:rsid w:val="00A91EFA"/>
    <w:rsid w:val="00AC45D1"/>
    <w:rsid w:val="00B06D3E"/>
    <w:rsid w:val="00B34ED9"/>
    <w:rsid w:val="00B549ED"/>
    <w:rsid w:val="00B94A47"/>
    <w:rsid w:val="00BF6BE5"/>
    <w:rsid w:val="00C7732F"/>
    <w:rsid w:val="00C9635B"/>
    <w:rsid w:val="00CC36C0"/>
    <w:rsid w:val="00CC4445"/>
    <w:rsid w:val="00D55109"/>
    <w:rsid w:val="00D60951"/>
    <w:rsid w:val="00D63739"/>
    <w:rsid w:val="00D646C4"/>
    <w:rsid w:val="00D779BA"/>
    <w:rsid w:val="00DB0D03"/>
    <w:rsid w:val="00DC08A5"/>
    <w:rsid w:val="00DC12A9"/>
    <w:rsid w:val="00DC3F53"/>
    <w:rsid w:val="00DD2709"/>
    <w:rsid w:val="00DE7789"/>
    <w:rsid w:val="00E01FAD"/>
    <w:rsid w:val="00E16E57"/>
    <w:rsid w:val="00E2640E"/>
    <w:rsid w:val="00E56D6A"/>
    <w:rsid w:val="00E63B33"/>
    <w:rsid w:val="00E8354A"/>
    <w:rsid w:val="00EA1D46"/>
    <w:rsid w:val="00EE3EFC"/>
    <w:rsid w:val="00EF0B8A"/>
    <w:rsid w:val="00F27A24"/>
    <w:rsid w:val="00F461C6"/>
    <w:rsid w:val="00F56772"/>
    <w:rsid w:val="00F915D8"/>
    <w:rsid w:val="00FA32B4"/>
    <w:rsid w:val="00FE0442"/>
    <w:rsid w:val="00FE6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7EBB82B"/>
  <w14:defaultImageDpi w14:val="300"/>
  <w15:docId w15:val="{29F24E2A-90B5-46FA-B181-F8EFA74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39"/>
    <w:rPr>
      <w:rFonts w:ascii="Arial" w:hAnsi="Arial" w:cs="Arial"/>
      <w:color w:val="808080" w:themeColor="background1" w:themeShade="80"/>
    </w:rPr>
  </w:style>
  <w:style w:type="paragraph" w:styleId="Heading1">
    <w:name w:val="heading 1"/>
    <w:basedOn w:val="Normal"/>
    <w:next w:val="Normal"/>
    <w:link w:val="Heading1Char"/>
    <w:uiPriority w:val="9"/>
    <w:qFormat/>
    <w:rsid w:val="00701956"/>
    <w:pPr>
      <w:keepNext/>
      <w:keepLines/>
      <w:spacing w:before="480"/>
      <w:outlineLvl w:val="0"/>
    </w:pPr>
    <w:rPr>
      <w:rFonts w:eastAsiaTheme="majorEastAsia"/>
      <w:bCs/>
      <w:sz w:val="36"/>
      <w:szCs w:val="36"/>
    </w:rPr>
  </w:style>
  <w:style w:type="paragraph" w:styleId="Heading2">
    <w:name w:val="heading 2"/>
    <w:basedOn w:val="Normal"/>
    <w:next w:val="Normal"/>
    <w:link w:val="Heading2Char"/>
    <w:uiPriority w:val="9"/>
    <w:unhideWhenUsed/>
    <w:qFormat/>
    <w:rsid w:val="00D63739"/>
    <w:pPr>
      <w:outlineLvl w:val="1"/>
    </w:pPr>
    <w:rPr>
      <w:sz w:val="28"/>
      <w:szCs w:val="28"/>
    </w:rPr>
  </w:style>
  <w:style w:type="paragraph" w:styleId="Heading3">
    <w:name w:val="heading 3"/>
    <w:basedOn w:val="Normal"/>
    <w:next w:val="Normal"/>
    <w:link w:val="Heading3Char"/>
    <w:uiPriority w:val="9"/>
    <w:unhideWhenUsed/>
    <w:qFormat/>
    <w:rsid w:val="00A603A7"/>
    <w:pPr>
      <w:keepNext/>
      <w:keepLines/>
      <w:spacing w:before="20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65F"/>
    <w:rPr>
      <w:rFonts w:ascii="Lucida Grande" w:hAnsi="Lucida Grande" w:cs="Lucida Grande"/>
      <w:sz w:val="18"/>
      <w:szCs w:val="18"/>
    </w:rPr>
  </w:style>
  <w:style w:type="paragraph" w:styleId="Footer">
    <w:name w:val="footer"/>
    <w:basedOn w:val="Normal"/>
    <w:link w:val="FooterChar"/>
    <w:uiPriority w:val="99"/>
    <w:unhideWhenUsed/>
    <w:rsid w:val="00380DE4"/>
    <w:pPr>
      <w:tabs>
        <w:tab w:val="center" w:pos="4320"/>
        <w:tab w:val="right" w:pos="8640"/>
      </w:tabs>
    </w:pPr>
  </w:style>
  <w:style w:type="character" w:customStyle="1" w:styleId="FooterChar">
    <w:name w:val="Footer Char"/>
    <w:basedOn w:val="DefaultParagraphFont"/>
    <w:link w:val="Footer"/>
    <w:uiPriority w:val="99"/>
    <w:rsid w:val="00380DE4"/>
  </w:style>
  <w:style w:type="character" w:styleId="PageNumber">
    <w:name w:val="page number"/>
    <w:basedOn w:val="DefaultParagraphFont"/>
    <w:uiPriority w:val="99"/>
    <w:unhideWhenUsed/>
    <w:rsid w:val="00380DE4"/>
  </w:style>
  <w:style w:type="paragraph" w:styleId="Header">
    <w:name w:val="header"/>
    <w:basedOn w:val="Normal"/>
    <w:link w:val="HeaderChar"/>
    <w:unhideWhenUsed/>
    <w:rsid w:val="006C6F64"/>
    <w:pPr>
      <w:tabs>
        <w:tab w:val="center" w:pos="4320"/>
        <w:tab w:val="right" w:pos="8640"/>
      </w:tabs>
    </w:pPr>
  </w:style>
  <w:style w:type="character" w:customStyle="1" w:styleId="HeaderChar">
    <w:name w:val="Header Char"/>
    <w:basedOn w:val="DefaultParagraphFont"/>
    <w:link w:val="Header"/>
    <w:rsid w:val="006C6F64"/>
  </w:style>
  <w:style w:type="paragraph" w:customStyle="1" w:styleId="Default">
    <w:name w:val="Default"/>
    <w:rsid w:val="00701956"/>
    <w:pPr>
      <w:autoSpaceDE w:val="0"/>
      <w:autoSpaceDN w:val="0"/>
      <w:adjustRightInd w:val="0"/>
    </w:pPr>
    <w:rPr>
      <w:rFonts w:ascii="Arial" w:eastAsia="Times New Roman" w:hAnsi="Arial" w:cs="Arial"/>
      <w:color w:val="000000"/>
      <w:lang w:eastAsia="en-GB"/>
    </w:rPr>
  </w:style>
  <w:style w:type="character" w:styleId="Hyperlink">
    <w:name w:val="Hyperlink"/>
    <w:basedOn w:val="DefaultParagraphFont"/>
    <w:uiPriority w:val="99"/>
    <w:unhideWhenUsed/>
    <w:rsid w:val="00701956"/>
    <w:rPr>
      <w:color w:val="0000FF" w:themeColor="hyperlink"/>
      <w:u w:val="single"/>
    </w:rPr>
  </w:style>
  <w:style w:type="character" w:customStyle="1" w:styleId="Heading1Char">
    <w:name w:val="Heading 1 Char"/>
    <w:basedOn w:val="DefaultParagraphFont"/>
    <w:link w:val="Heading1"/>
    <w:uiPriority w:val="9"/>
    <w:rsid w:val="00701956"/>
    <w:rPr>
      <w:rFonts w:ascii="Arial" w:eastAsiaTheme="majorEastAsia" w:hAnsi="Arial" w:cs="Arial"/>
      <w:bCs/>
      <w:color w:val="808080" w:themeColor="background1" w:themeShade="80"/>
      <w:sz w:val="36"/>
      <w:szCs w:val="36"/>
    </w:rPr>
  </w:style>
  <w:style w:type="paragraph" w:styleId="TOCHeading">
    <w:name w:val="TOC Heading"/>
    <w:basedOn w:val="Heading1"/>
    <w:next w:val="Normal"/>
    <w:uiPriority w:val="39"/>
    <w:unhideWhenUsed/>
    <w:qFormat/>
    <w:rsid w:val="008340AD"/>
    <w:pPr>
      <w:spacing w:line="276" w:lineRule="auto"/>
      <w:outlineLvl w:val="9"/>
    </w:pPr>
    <w:rPr>
      <w:rFonts w:asciiTheme="majorHAnsi"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unhideWhenUsed/>
    <w:rsid w:val="004E63A0"/>
    <w:pPr>
      <w:tabs>
        <w:tab w:val="right" w:leader="dot" w:pos="8789"/>
      </w:tabs>
      <w:spacing w:after="100"/>
    </w:pPr>
    <w:rPr>
      <w:noProof/>
      <w:sz w:val="20"/>
    </w:rPr>
  </w:style>
  <w:style w:type="character" w:customStyle="1" w:styleId="Heading2Char">
    <w:name w:val="Heading 2 Char"/>
    <w:basedOn w:val="DefaultParagraphFont"/>
    <w:link w:val="Heading2"/>
    <w:uiPriority w:val="9"/>
    <w:rsid w:val="00D63739"/>
    <w:rPr>
      <w:rFonts w:ascii="Arial" w:hAnsi="Arial" w:cs="Arial"/>
      <w:color w:val="808080" w:themeColor="background1" w:themeShade="80"/>
      <w:sz w:val="28"/>
      <w:szCs w:val="28"/>
    </w:rPr>
  </w:style>
  <w:style w:type="paragraph" w:styleId="Title">
    <w:name w:val="Title"/>
    <w:basedOn w:val="Normal"/>
    <w:next w:val="Normal"/>
    <w:link w:val="TitleChar"/>
    <w:uiPriority w:val="10"/>
    <w:qFormat/>
    <w:rsid w:val="00787EA6"/>
    <w:rPr>
      <w:b/>
      <w:color w:val="F79646" w:themeColor="accent6"/>
      <w:sz w:val="72"/>
    </w:rPr>
  </w:style>
  <w:style w:type="character" w:customStyle="1" w:styleId="TitleChar">
    <w:name w:val="Title Char"/>
    <w:basedOn w:val="DefaultParagraphFont"/>
    <w:link w:val="Title"/>
    <w:uiPriority w:val="10"/>
    <w:rsid w:val="00787EA6"/>
    <w:rPr>
      <w:rFonts w:ascii="Arial" w:hAnsi="Arial" w:cs="Arial"/>
      <w:b/>
      <w:color w:val="F79646" w:themeColor="accent6"/>
      <w:sz w:val="72"/>
    </w:rPr>
  </w:style>
  <w:style w:type="table" w:styleId="TableGrid">
    <w:name w:val="Table Grid"/>
    <w:basedOn w:val="TableNormal"/>
    <w:uiPriority w:val="59"/>
    <w:rsid w:val="0030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995"/>
    <w:pPr>
      <w:ind w:left="720"/>
      <w:contextualSpacing/>
    </w:pPr>
  </w:style>
  <w:style w:type="character" w:styleId="Strong">
    <w:name w:val="Strong"/>
    <w:basedOn w:val="DefaultParagraphFont"/>
    <w:qFormat/>
    <w:rsid w:val="001202C5"/>
    <w:rPr>
      <w:b/>
      <w:bCs/>
    </w:rPr>
  </w:style>
  <w:style w:type="paragraph" w:customStyle="1" w:styleId="Pa54">
    <w:name w:val="Pa54"/>
    <w:basedOn w:val="Normal"/>
    <w:next w:val="Normal"/>
    <w:uiPriority w:val="99"/>
    <w:rsid w:val="001202C5"/>
    <w:pPr>
      <w:autoSpaceDE w:val="0"/>
      <w:autoSpaceDN w:val="0"/>
      <w:adjustRightInd w:val="0"/>
      <w:spacing w:line="181" w:lineRule="atLeast"/>
    </w:pPr>
    <w:rPr>
      <w:rFonts w:ascii="Stone Sans" w:eastAsia="Times New Roman" w:hAnsi="Stone Sans" w:cs="Times New Roman"/>
      <w:color w:val="auto"/>
      <w:lang w:eastAsia="en-GB"/>
    </w:rPr>
  </w:style>
  <w:style w:type="paragraph" w:styleId="TOC2">
    <w:name w:val="toc 2"/>
    <w:basedOn w:val="Normal"/>
    <w:next w:val="Normal"/>
    <w:autoRedefine/>
    <w:uiPriority w:val="39"/>
    <w:unhideWhenUsed/>
    <w:rsid w:val="001202C5"/>
    <w:pPr>
      <w:tabs>
        <w:tab w:val="right" w:leader="dot" w:pos="8789"/>
      </w:tabs>
      <w:spacing w:after="100"/>
      <w:ind w:left="240"/>
    </w:pPr>
  </w:style>
  <w:style w:type="character" w:customStyle="1" w:styleId="Heading3Char">
    <w:name w:val="Heading 3 Char"/>
    <w:basedOn w:val="DefaultParagraphFont"/>
    <w:link w:val="Heading3"/>
    <w:uiPriority w:val="9"/>
    <w:rsid w:val="00A603A7"/>
    <w:rPr>
      <w:rFonts w:asciiTheme="majorHAnsi" w:eastAsiaTheme="majorEastAsia" w:hAnsiTheme="majorHAnsi" w:cstheme="majorBidi"/>
      <w:b/>
      <w:bCs/>
      <w:color w:val="4F81BD" w:themeColor="accent1"/>
      <w:lang w:eastAsia="en-GB"/>
    </w:rPr>
  </w:style>
  <w:style w:type="paragraph" w:styleId="NoSpacing">
    <w:name w:val="No Spacing"/>
    <w:uiPriority w:val="1"/>
    <w:qFormat/>
    <w:rsid w:val="00A603A7"/>
    <w:rPr>
      <w:rFonts w:ascii="Calibri" w:eastAsia="Calibri" w:hAnsi="Calibri" w:cs="Times New Roman"/>
      <w:sz w:val="22"/>
      <w:szCs w:val="22"/>
    </w:rPr>
  </w:style>
  <w:style w:type="paragraph" w:styleId="TOC3">
    <w:name w:val="toc 3"/>
    <w:basedOn w:val="Normal"/>
    <w:next w:val="Normal"/>
    <w:autoRedefine/>
    <w:uiPriority w:val="39"/>
    <w:unhideWhenUsed/>
    <w:rsid w:val="004E63A0"/>
    <w:pPr>
      <w:tabs>
        <w:tab w:val="right" w:leader="dot" w:pos="8789"/>
      </w:tabs>
      <w:spacing w:after="100"/>
      <w:ind w:left="284"/>
    </w:pPr>
  </w:style>
  <w:style w:type="character" w:styleId="CommentReference">
    <w:name w:val="annotation reference"/>
    <w:basedOn w:val="DefaultParagraphFont"/>
    <w:uiPriority w:val="99"/>
    <w:semiHidden/>
    <w:unhideWhenUsed/>
    <w:rsid w:val="003E3BAD"/>
    <w:rPr>
      <w:sz w:val="16"/>
      <w:szCs w:val="16"/>
    </w:rPr>
  </w:style>
  <w:style w:type="paragraph" w:styleId="CommentText">
    <w:name w:val="annotation text"/>
    <w:basedOn w:val="Normal"/>
    <w:link w:val="CommentTextChar"/>
    <w:uiPriority w:val="99"/>
    <w:semiHidden/>
    <w:unhideWhenUsed/>
    <w:rsid w:val="003E3BAD"/>
    <w:rPr>
      <w:sz w:val="20"/>
      <w:szCs w:val="20"/>
    </w:rPr>
  </w:style>
  <w:style w:type="character" w:customStyle="1" w:styleId="CommentTextChar">
    <w:name w:val="Comment Text Char"/>
    <w:basedOn w:val="DefaultParagraphFont"/>
    <w:link w:val="CommentText"/>
    <w:uiPriority w:val="99"/>
    <w:semiHidden/>
    <w:rsid w:val="003E3BAD"/>
    <w:rPr>
      <w:rFonts w:ascii="Arial" w:hAnsi="Arial" w:cs="Arial"/>
      <w:color w:val="808080" w:themeColor="background1" w:themeShade="80"/>
      <w:sz w:val="20"/>
      <w:szCs w:val="20"/>
    </w:rPr>
  </w:style>
  <w:style w:type="paragraph" w:styleId="CommentSubject">
    <w:name w:val="annotation subject"/>
    <w:basedOn w:val="CommentText"/>
    <w:next w:val="CommentText"/>
    <w:link w:val="CommentSubjectChar"/>
    <w:uiPriority w:val="99"/>
    <w:semiHidden/>
    <w:unhideWhenUsed/>
    <w:rsid w:val="003E3BAD"/>
    <w:rPr>
      <w:b/>
      <w:bCs/>
    </w:rPr>
  </w:style>
  <w:style w:type="character" w:customStyle="1" w:styleId="CommentSubjectChar">
    <w:name w:val="Comment Subject Char"/>
    <w:basedOn w:val="CommentTextChar"/>
    <w:link w:val="CommentSubject"/>
    <w:uiPriority w:val="99"/>
    <w:semiHidden/>
    <w:rsid w:val="003E3BAD"/>
    <w:rPr>
      <w:rFonts w:ascii="Arial" w:hAnsi="Arial" w:cs="Arial"/>
      <w:b/>
      <w:bCs/>
      <w:color w:val="808080" w:themeColor="background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423496">
      <w:bodyDiv w:val="1"/>
      <w:marLeft w:val="0"/>
      <w:marRight w:val="0"/>
      <w:marTop w:val="0"/>
      <w:marBottom w:val="0"/>
      <w:divBdr>
        <w:top w:val="none" w:sz="0" w:space="0" w:color="auto"/>
        <w:left w:val="none" w:sz="0" w:space="0" w:color="auto"/>
        <w:bottom w:val="none" w:sz="0" w:space="0" w:color="auto"/>
        <w:right w:val="none" w:sz="0" w:space="0" w:color="auto"/>
      </w:divBdr>
    </w:div>
    <w:div w:id="922760446">
      <w:bodyDiv w:val="1"/>
      <w:marLeft w:val="0"/>
      <w:marRight w:val="0"/>
      <w:marTop w:val="0"/>
      <w:marBottom w:val="0"/>
      <w:divBdr>
        <w:top w:val="none" w:sz="0" w:space="0" w:color="auto"/>
        <w:left w:val="none" w:sz="0" w:space="0" w:color="auto"/>
        <w:bottom w:val="none" w:sz="0" w:space="0" w:color="auto"/>
        <w:right w:val="none" w:sz="0" w:space="0" w:color="auto"/>
      </w:divBdr>
    </w:div>
    <w:div w:id="1686206246">
      <w:bodyDiv w:val="1"/>
      <w:marLeft w:val="0"/>
      <w:marRight w:val="0"/>
      <w:marTop w:val="0"/>
      <w:marBottom w:val="0"/>
      <w:divBdr>
        <w:top w:val="none" w:sz="0" w:space="0" w:color="auto"/>
        <w:left w:val="none" w:sz="0" w:space="0" w:color="auto"/>
        <w:bottom w:val="none" w:sz="0" w:space="0" w:color="auto"/>
        <w:right w:val="none" w:sz="0" w:space="0" w:color="auto"/>
      </w:divBdr>
    </w:div>
    <w:div w:id="1873105964">
      <w:bodyDiv w:val="1"/>
      <w:marLeft w:val="0"/>
      <w:marRight w:val="0"/>
      <w:marTop w:val="0"/>
      <w:marBottom w:val="0"/>
      <w:divBdr>
        <w:top w:val="none" w:sz="0" w:space="0" w:color="auto"/>
        <w:left w:val="none" w:sz="0" w:space="0" w:color="auto"/>
        <w:bottom w:val="none" w:sz="0" w:space="0" w:color="auto"/>
        <w:right w:val="none" w:sz="0" w:space="0" w:color="auto"/>
      </w:divBdr>
    </w:div>
    <w:div w:id="1917007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ct-hr@bradford.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HRTradedServices\Branding\Templates\Policies\Policy%20Template%20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8C7B-70BD-431A-843A-30D91250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2.12</Template>
  <TotalTime>6</TotalTime>
  <Pages>20</Pages>
  <Words>5661</Words>
  <Characters>32272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Greenwood</dc:creator>
  <cp:lastModifiedBy>linda spendelow</cp:lastModifiedBy>
  <cp:revision>3</cp:revision>
  <cp:lastPrinted>2018-01-24T15:14:00Z</cp:lastPrinted>
  <dcterms:created xsi:type="dcterms:W3CDTF">2018-01-24T15:08:00Z</dcterms:created>
  <dcterms:modified xsi:type="dcterms:W3CDTF">2018-01-24T15:14:00Z</dcterms:modified>
</cp:coreProperties>
</file>