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0910" w14:textId="77777777" w:rsidR="003D5DF2" w:rsidRDefault="003D5DF2" w:rsidP="003D5DF2">
      <w:r w:rsidRPr="00041407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576C9D29" wp14:editId="6B0F7826">
            <wp:simplePos x="0" y="0"/>
            <wp:positionH relativeFrom="margin">
              <wp:posOffset>4198871</wp:posOffset>
            </wp:positionH>
            <wp:positionV relativeFrom="margin">
              <wp:posOffset>165130</wp:posOffset>
            </wp:positionV>
            <wp:extent cx="441325" cy="474980"/>
            <wp:effectExtent l="0" t="0" r="0" b="1270"/>
            <wp:wrapSquare wrapText="bothSides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E6808" w14:textId="77777777" w:rsidR="003D5DF2" w:rsidRDefault="003D5DF2" w:rsidP="003D5DF2"/>
    <w:p w14:paraId="4799BDBE" w14:textId="77777777" w:rsidR="003D5DF2" w:rsidRDefault="003D5DF2" w:rsidP="003D5DF2"/>
    <w:p w14:paraId="5876D997" w14:textId="5DD2E83D" w:rsidR="003D5DF2" w:rsidRPr="00454528" w:rsidRDefault="003D5DF2" w:rsidP="003D5DF2">
      <w:pPr>
        <w:jc w:val="center"/>
        <w:rPr>
          <w:b/>
        </w:rPr>
      </w:pPr>
      <w:r>
        <w:rPr>
          <w:b/>
        </w:rPr>
        <w:t>Progress against previous Ofsted action points</w:t>
      </w:r>
    </w:p>
    <w:p w14:paraId="30E45472" w14:textId="06F1AE81" w:rsidR="005036A6" w:rsidRPr="00E50AFE" w:rsidRDefault="003D5DF2" w:rsidP="00E50AFE">
      <w:pPr>
        <w:jc w:val="center"/>
        <w:rPr>
          <w:b/>
        </w:rPr>
      </w:pPr>
      <w:r>
        <w:rPr>
          <w:b/>
        </w:rPr>
        <w:t>March 2023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4508"/>
        <w:gridCol w:w="5471"/>
        <w:gridCol w:w="5472"/>
      </w:tblGrid>
      <w:tr w:rsidR="00DD6BF0" w14:paraId="4F798CC1" w14:textId="77777777" w:rsidTr="00A13292">
        <w:tc>
          <w:tcPr>
            <w:tcW w:w="4508" w:type="dxa"/>
          </w:tcPr>
          <w:p w14:paraId="42886AB6" w14:textId="77777777" w:rsidR="005036A6" w:rsidRPr="00DD6BF0" w:rsidRDefault="005036A6" w:rsidP="003D5DF2">
            <w:pPr>
              <w:jc w:val="center"/>
              <w:rPr>
                <w:b/>
              </w:rPr>
            </w:pPr>
            <w:r w:rsidRPr="00DD6BF0">
              <w:rPr>
                <w:b/>
              </w:rPr>
              <w:t>Previous Ofsted Action Point</w:t>
            </w:r>
          </w:p>
        </w:tc>
        <w:tc>
          <w:tcPr>
            <w:tcW w:w="5471" w:type="dxa"/>
          </w:tcPr>
          <w:p w14:paraId="0672A508" w14:textId="77777777" w:rsidR="005036A6" w:rsidRPr="00DD6BF0" w:rsidRDefault="005036A6" w:rsidP="003D5DF2">
            <w:pPr>
              <w:jc w:val="center"/>
              <w:rPr>
                <w:b/>
              </w:rPr>
            </w:pPr>
            <w:r w:rsidRPr="00DD6BF0">
              <w:rPr>
                <w:b/>
              </w:rPr>
              <w:t>Action</w:t>
            </w:r>
          </w:p>
        </w:tc>
        <w:tc>
          <w:tcPr>
            <w:tcW w:w="5472" w:type="dxa"/>
          </w:tcPr>
          <w:p w14:paraId="7731E05F" w14:textId="1B9936CE" w:rsidR="005036A6" w:rsidRPr="00DD6BF0" w:rsidRDefault="005036A6" w:rsidP="003D5DF2">
            <w:pPr>
              <w:jc w:val="center"/>
              <w:rPr>
                <w:b/>
              </w:rPr>
            </w:pPr>
            <w:r w:rsidRPr="00DD6BF0">
              <w:rPr>
                <w:b/>
              </w:rPr>
              <w:t>Impact</w:t>
            </w:r>
            <w:r w:rsidR="004E5A45">
              <w:rPr>
                <w:b/>
              </w:rPr>
              <w:t xml:space="preserve"> / Outcomes</w:t>
            </w:r>
          </w:p>
        </w:tc>
      </w:tr>
      <w:tr w:rsidR="00DD6BF0" w14:paraId="0DD04FEA" w14:textId="77777777" w:rsidTr="003D5DF2">
        <w:tc>
          <w:tcPr>
            <w:tcW w:w="4508" w:type="dxa"/>
            <w:shd w:val="clear" w:color="auto" w:fill="F2F2F2" w:themeFill="background1" w:themeFillShade="F2"/>
          </w:tcPr>
          <w:p w14:paraId="0519A5DA" w14:textId="77777777" w:rsidR="005036A6" w:rsidRDefault="005036A6"/>
        </w:tc>
        <w:tc>
          <w:tcPr>
            <w:tcW w:w="5471" w:type="dxa"/>
            <w:shd w:val="clear" w:color="auto" w:fill="F2F2F2" w:themeFill="background1" w:themeFillShade="F2"/>
          </w:tcPr>
          <w:p w14:paraId="43FC5896" w14:textId="77777777" w:rsidR="005036A6" w:rsidRDefault="005036A6"/>
        </w:tc>
        <w:tc>
          <w:tcPr>
            <w:tcW w:w="5472" w:type="dxa"/>
            <w:shd w:val="clear" w:color="auto" w:fill="F2F2F2" w:themeFill="background1" w:themeFillShade="F2"/>
          </w:tcPr>
          <w:p w14:paraId="42DF5BC4" w14:textId="77777777" w:rsidR="005036A6" w:rsidRDefault="005036A6"/>
        </w:tc>
      </w:tr>
      <w:tr w:rsidR="00DD6BF0" w14:paraId="28050628" w14:textId="77777777" w:rsidTr="00A13292">
        <w:tc>
          <w:tcPr>
            <w:tcW w:w="4508" w:type="dxa"/>
          </w:tcPr>
          <w:p w14:paraId="0B967218" w14:textId="77777777" w:rsidR="005036A6" w:rsidRDefault="005036A6">
            <w:r>
              <w:t xml:space="preserve">Continue to develop the whole-school approaches to reading by further developing pupils’ understanding of how writers use language to create a range of effects to persuade, inform and entertain </w:t>
            </w:r>
          </w:p>
        </w:tc>
        <w:tc>
          <w:tcPr>
            <w:tcW w:w="5471" w:type="dxa"/>
          </w:tcPr>
          <w:p w14:paraId="25A3AB08" w14:textId="77777777" w:rsidR="00322343" w:rsidRDefault="005036A6" w:rsidP="00322343">
            <w:pPr>
              <w:pStyle w:val="ListParagraph"/>
              <w:numPr>
                <w:ilvl w:val="0"/>
                <w:numId w:val="2"/>
              </w:numPr>
              <w:ind w:left="211" w:hanging="142"/>
            </w:pPr>
            <w:r>
              <w:t>Reading continuum embedded across school</w:t>
            </w:r>
            <w:r w:rsidR="00322343">
              <w:t xml:space="preserve"> – focus on author’s use of language within planning </w:t>
            </w:r>
          </w:p>
          <w:p w14:paraId="12E5211C" w14:textId="77777777" w:rsidR="005036A6" w:rsidRDefault="005036A6" w:rsidP="005036A6">
            <w:pPr>
              <w:pStyle w:val="ListParagraph"/>
              <w:numPr>
                <w:ilvl w:val="0"/>
                <w:numId w:val="2"/>
              </w:numPr>
              <w:ind w:left="211" w:hanging="142"/>
            </w:pPr>
            <w:r>
              <w:t xml:space="preserve">Reading for Pleasure embedded across school </w:t>
            </w:r>
            <w:r w:rsidR="00322343">
              <w:t>– daily class reading at the end of the day, enhanced book corners</w:t>
            </w:r>
          </w:p>
          <w:p w14:paraId="6F05F77F" w14:textId="5471D173" w:rsidR="00A13292" w:rsidRDefault="00322343" w:rsidP="00A13292">
            <w:pPr>
              <w:pStyle w:val="ListParagraph"/>
              <w:numPr>
                <w:ilvl w:val="0"/>
                <w:numId w:val="2"/>
              </w:numPr>
              <w:ind w:left="211" w:hanging="142"/>
            </w:pPr>
            <w:r>
              <w:t xml:space="preserve">Significant spend on library books </w:t>
            </w:r>
            <w:r w:rsidR="00A13292">
              <w:t>to enhance reading provision</w:t>
            </w:r>
            <w:r w:rsidR="005A4C06">
              <w:t xml:space="preserve"> </w:t>
            </w:r>
          </w:p>
          <w:p w14:paraId="10822C5E" w14:textId="59359CF0" w:rsidR="005036A6" w:rsidRDefault="005036A6" w:rsidP="005036A6">
            <w:pPr>
              <w:pStyle w:val="ListParagraph"/>
              <w:numPr>
                <w:ilvl w:val="0"/>
                <w:numId w:val="2"/>
              </w:numPr>
              <w:ind w:left="211" w:hanging="142"/>
            </w:pPr>
            <w:r>
              <w:t xml:space="preserve">Accelerated Reader used </w:t>
            </w:r>
            <w:r w:rsidR="00322343">
              <w:t>across school as an engagement tool</w:t>
            </w:r>
            <w:r w:rsidR="003A31A9">
              <w:t xml:space="preserve">.  Also used to ensure accurate banding of books and </w:t>
            </w:r>
            <w:r w:rsidR="006F5C3E">
              <w:t>match to pupil’s ZPD (zone of proximal development)</w:t>
            </w:r>
          </w:p>
          <w:p w14:paraId="51C9598E" w14:textId="5FD82EA9" w:rsidR="00A13292" w:rsidRDefault="00A13292" w:rsidP="005036A6">
            <w:pPr>
              <w:pStyle w:val="ListParagraph"/>
              <w:numPr>
                <w:ilvl w:val="0"/>
                <w:numId w:val="2"/>
              </w:numPr>
              <w:ind w:left="211" w:hanging="142"/>
            </w:pPr>
            <w:r>
              <w:t xml:space="preserve">Renewed RWI Phonics training for all staff delivering in EYFS and KS1. </w:t>
            </w:r>
          </w:p>
          <w:p w14:paraId="03830195" w14:textId="10564575" w:rsidR="004E5A45" w:rsidRDefault="004E5A45" w:rsidP="005036A6">
            <w:pPr>
              <w:pStyle w:val="ListParagraph"/>
              <w:numPr>
                <w:ilvl w:val="0"/>
                <w:numId w:val="2"/>
              </w:numPr>
              <w:ind w:left="211" w:hanging="142"/>
            </w:pPr>
            <w:r>
              <w:t>English staff meeting each half term</w:t>
            </w:r>
          </w:p>
          <w:p w14:paraId="15F2B687" w14:textId="67068607" w:rsidR="004E5A45" w:rsidRDefault="004E5A45" w:rsidP="004E5A45">
            <w:pPr>
              <w:pStyle w:val="ListParagraph"/>
              <w:numPr>
                <w:ilvl w:val="0"/>
                <w:numId w:val="2"/>
              </w:numPr>
              <w:ind w:left="211" w:hanging="142"/>
            </w:pPr>
            <w:r>
              <w:t xml:space="preserve">Phase Leaders reports to </w:t>
            </w:r>
            <w:proofErr w:type="spellStart"/>
            <w:r>
              <w:t>Govs</w:t>
            </w:r>
            <w:proofErr w:type="spellEnd"/>
            <w:r>
              <w:t xml:space="preserve"> include attainment and progress data on English </w:t>
            </w:r>
          </w:p>
          <w:p w14:paraId="0050BB80" w14:textId="2E16F814" w:rsidR="004E5A45" w:rsidRDefault="004E5A45" w:rsidP="004E5A45">
            <w:pPr>
              <w:pStyle w:val="ListParagraph"/>
              <w:numPr>
                <w:ilvl w:val="0"/>
                <w:numId w:val="2"/>
              </w:numPr>
              <w:ind w:left="211" w:hanging="142"/>
            </w:pPr>
            <w:r>
              <w:t xml:space="preserve">Year group moderation – internally with lead LEA moderator and externally within the Great Heights Partnership </w:t>
            </w:r>
          </w:p>
          <w:p w14:paraId="4237DAC7" w14:textId="4DE0DF57" w:rsidR="004E5A45" w:rsidRDefault="004E5A45" w:rsidP="004E5A45"/>
          <w:p w14:paraId="46E4FAC0" w14:textId="1DA7DEF5" w:rsidR="004E5A45" w:rsidRDefault="004E5A45" w:rsidP="004E5A45">
            <w:pPr>
              <w:rPr>
                <w:color w:val="FF0000"/>
              </w:rPr>
            </w:pPr>
            <w:r w:rsidRPr="004E5A45">
              <w:rPr>
                <w:color w:val="FF0000"/>
              </w:rPr>
              <w:t>Current Academic Year</w:t>
            </w:r>
          </w:p>
          <w:p w14:paraId="4C211221" w14:textId="3E76D6ED" w:rsidR="004E5A45" w:rsidRDefault="004E5A45" w:rsidP="004E5A45">
            <w:pPr>
              <w:pStyle w:val="ListParagraph"/>
              <w:numPr>
                <w:ilvl w:val="0"/>
                <w:numId w:val="7"/>
              </w:numPr>
              <w:ind w:left="211" w:hanging="142"/>
              <w:rPr>
                <w:color w:val="FF0000"/>
              </w:rPr>
            </w:pPr>
            <w:r>
              <w:rPr>
                <w:color w:val="FF0000"/>
              </w:rPr>
              <w:t>Appointment of English TLR who is LEA moderator</w:t>
            </w:r>
          </w:p>
          <w:p w14:paraId="6CECD19C" w14:textId="12E7B9EB" w:rsidR="00322343" w:rsidRPr="004E5A45" w:rsidRDefault="004E5A45" w:rsidP="00322343">
            <w:pPr>
              <w:pStyle w:val="ListParagraph"/>
              <w:numPr>
                <w:ilvl w:val="0"/>
                <w:numId w:val="7"/>
              </w:numPr>
              <w:ind w:left="211" w:hanging="142"/>
              <w:rPr>
                <w:color w:val="FF0000"/>
              </w:rPr>
            </w:pPr>
            <w:r>
              <w:rPr>
                <w:color w:val="FF0000"/>
              </w:rPr>
              <w:t>Assistant Head trained as LEA moderator (KS1)</w:t>
            </w:r>
          </w:p>
        </w:tc>
        <w:tc>
          <w:tcPr>
            <w:tcW w:w="5472" w:type="dxa"/>
          </w:tcPr>
          <w:p w14:paraId="22E4F35D" w14:textId="77777777" w:rsidR="005036A6" w:rsidRDefault="00A13292">
            <w:pPr>
              <w:rPr>
                <w:b/>
              </w:rPr>
            </w:pPr>
            <w:r w:rsidRPr="00A13292">
              <w:rPr>
                <w:b/>
              </w:rPr>
              <w:t xml:space="preserve">EYFS </w:t>
            </w:r>
          </w:p>
          <w:p w14:paraId="59BB6150" w14:textId="77777777" w:rsidR="00A13292" w:rsidRDefault="00A13292" w:rsidP="00A13292">
            <w:pPr>
              <w:pStyle w:val="ListParagraph"/>
              <w:numPr>
                <w:ilvl w:val="0"/>
                <w:numId w:val="5"/>
              </w:numPr>
              <w:ind w:left="122" w:hanging="122"/>
            </w:pPr>
            <w:r>
              <w:rPr>
                <w:b/>
              </w:rPr>
              <w:t xml:space="preserve"> </w:t>
            </w:r>
            <w:r w:rsidRPr="00A13292">
              <w:t xml:space="preserve">Rising trend </w:t>
            </w:r>
            <w:r>
              <w:t>in Reading – 2018 – 60%; 2019 61%, 2022 62%</w:t>
            </w:r>
          </w:p>
          <w:p w14:paraId="10F4B8A3" w14:textId="77777777" w:rsidR="00A13292" w:rsidRDefault="00A13292" w:rsidP="00A13292"/>
          <w:p w14:paraId="1603BE91" w14:textId="77777777" w:rsidR="00A13292" w:rsidRDefault="00A13292" w:rsidP="00A13292">
            <w:pPr>
              <w:rPr>
                <w:b/>
              </w:rPr>
            </w:pPr>
            <w:r>
              <w:rPr>
                <w:b/>
              </w:rPr>
              <w:t>KS1</w:t>
            </w:r>
          </w:p>
          <w:p w14:paraId="2D7A79CA" w14:textId="6138E4DF" w:rsidR="00A13292" w:rsidRDefault="00A13292" w:rsidP="00A13292">
            <w:pPr>
              <w:pStyle w:val="ListParagraph"/>
              <w:numPr>
                <w:ilvl w:val="0"/>
                <w:numId w:val="5"/>
              </w:numPr>
              <w:ind w:left="122" w:hanging="122"/>
            </w:pPr>
            <w:r>
              <w:t xml:space="preserve"> Phonic check (Y1) – 67% I  2022. Gap with national has narrowed from 14% to 9% in 2022. Of those that did not achieve the standard 50% were summer born and 33% had identified SEND</w:t>
            </w:r>
          </w:p>
          <w:p w14:paraId="6614DF71" w14:textId="1FA1C25B" w:rsidR="00A13292" w:rsidRDefault="00A13292" w:rsidP="00A13292">
            <w:pPr>
              <w:pStyle w:val="ListParagraph"/>
              <w:numPr>
                <w:ilvl w:val="0"/>
                <w:numId w:val="5"/>
              </w:numPr>
              <w:ind w:left="122" w:hanging="122"/>
            </w:pPr>
            <w:r>
              <w:t>94% of Y2 pupils entered KS2 having met the Phonic check standard</w:t>
            </w:r>
          </w:p>
          <w:p w14:paraId="2ADD2218" w14:textId="09D136EC" w:rsidR="00A13292" w:rsidRDefault="00A13292" w:rsidP="00A13292">
            <w:pPr>
              <w:pStyle w:val="ListParagraph"/>
              <w:numPr>
                <w:ilvl w:val="0"/>
                <w:numId w:val="5"/>
              </w:numPr>
              <w:ind w:left="122" w:hanging="122"/>
            </w:pPr>
            <w:r>
              <w:t>Y2 2022 – attainment in Reading was above national (+2%)</w:t>
            </w:r>
          </w:p>
          <w:p w14:paraId="3A34A7B8" w14:textId="4A37BD73" w:rsidR="002678FB" w:rsidRDefault="002678FB" w:rsidP="00A13292">
            <w:pPr>
              <w:pStyle w:val="ListParagraph"/>
              <w:numPr>
                <w:ilvl w:val="0"/>
                <w:numId w:val="5"/>
              </w:numPr>
              <w:ind w:left="122" w:hanging="122"/>
            </w:pPr>
            <w:r>
              <w:t>March 23 Mock – 3% GD</w:t>
            </w:r>
          </w:p>
          <w:p w14:paraId="3511698E" w14:textId="0EAC3A28" w:rsidR="00A13292" w:rsidRDefault="00A13292" w:rsidP="00A13292"/>
          <w:p w14:paraId="4392A576" w14:textId="7BD95A98" w:rsidR="00A13292" w:rsidRPr="00A13292" w:rsidRDefault="00A13292" w:rsidP="00A13292">
            <w:pPr>
              <w:rPr>
                <w:b/>
              </w:rPr>
            </w:pPr>
            <w:r w:rsidRPr="00A13292">
              <w:rPr>
                <w:b/>
              </w:rPr>
              <w:t>KS2</w:t>
            </w:r>
          </w:p>
          <w:p w14:paraId="5D25F1EE" w14:textId="4813E0E7" w:rsidR="00A13292" w:rsidRDefault="00A13292" w:rsidP="005A4C06">
            <w:pPr>
              <w:pStyle w:val="ListParagraph"/>
              <w:numPr>
                <w:ilvl w:val="0"/>
                <w:numId w:val="5"/>
              </w:numPr>
              <w:ind w:left="122" w:hanging="122"/>
            </w:pPr>
            <w:r>
              <w:t>Y6 2022 – attainment in Reading was above national (+1%)</w:t>
            </w:r>
          </w:p>
          <w:p w14:paraId="3DA7EA6A" w14:textId="3567F7EF" w:rsidR="00E25E05" w:rsidRDefault="00E25E05" w:rsidP="005A4C06">
            <w:pPr>
              <w:pStyle w:val="ListParagraph"/>
              <w:numPr>
                <w:ilvl w:val="0"/>
                <w:numId w:val="5"/>
              </w:numPr>
              <w:ind w:left="122" w:hanging="122"/>
            </w:pPr>
            <w:r>
              <w:t>All PAG groups converted at EXS+ above national: LPAs +</w:t>
            </w:r>
            <w:r w:rsidR="00241C65">
              <w:t>5% at EXS+ and +2% at GD, MPAs +7% and HPAs +2% at EXS and +15% at GD</w:t>
            </w:r>
          </w:p>
          <w:p w14:paraId="709F692F" w14:textId="37E666D5" w:rsidR="00241C65" w:rsidRDefault="00241C65" w:rsidP="005A4C06">
            <w:pPr>
              <w:pStyle w:val="ListParagraph"/>
              <w:numPr>
                <w:ilvl w:val="0"/>
                <w:numId w:val="5"/>
              </w:numPr>
              <w:ind w:left="122" w:hanging="122"/>
            </w:pPr>
            <w:r>
              <w:t>Writing – HPAs +2% on conversion to EXS+ and +15% to GD</w:t>
            </w:r>
          </w:p>
          <w:p w14:paraId="5432481B" w14:textId="3861CF56" w:rsidR="002678FB" w:rsidRPr="00A13292" w:rsidRDefault="002678FB" w:rsidP="005A4C06">
            <w:pPr>
              <w:pStyle w:val="ListParagraph"/>
              <w:numPr>
                <w:ilvl w:val="0"/>
                <w:numId w:val="5"/>
              </w:numPr>
              <w:ind w:left="122" w:hanging="122"/>
            </w:pPr>
            <w:r>
              <w:lastRenderedPageBreak/>
              <w:t>March 23 Mock – predicting 82% at EXS from results. GD – achieved 26% on mock SAT – predicting 30% which is above 2022 national (+2%) and +13% on WPS GD in 2022</w:t>
            </w:r>
          </w:p>
        </w:tc>
      </w:tr>
      <w:tr w:rsidR="00DD6BF0" w14:paraId="072BB150" w14:textId="77777777" w:rsidTr="00A13292">
        <w:tc>
          <w:tcPr>
            <w:tcW w:w="4508" w:type="dxa"/>
          </w:tcPr>
          <w:p w14:paraId="63C9F7E8" w14:textId="77777777" w:rsidR="005036A6" w:rsidRDefault="005036A6">
            <w:r>
              <w:lastRenderedPageBreak/>
              <w:t xml:space="preserve">Further extend and deepen the curriculum beyond English, mathematics and science, especially in the upper school, so that pupils develop, and are more confident in, subject-specific skills, knowledge and understanding in subjects such as history, geography and religious education </w:t>
            </w:r>
          </w:p>
        </w:tc>
        <w:tc>
          <w:tcPr>
            <w:tcW w:w="5471" w:type="dxa"/>
          </w:tcPr>
          <w:p w14:paraId="56387524" w14:textId="77777777" w:rsidR="005036A6" w:rsidRDefault="00322343" w:rsidP="00322343">
            <w:pPr>
              <w:pStyle w:val="ListParagraph"/>
              <w:numPr>
                <w:ilvl w:val="0"/>
                <w:numId w:val="3"/>
              </w:numPr>
              <w:ind w:left="211" w:hanging="211"/>
            </w:pPr>
            <w:r>
              <w:t>Cumulative curriculum in Geography, History and RE across school – focus on progressive development of substantive knowledge and disciplinary skills</w:t>
            </w:r>
          </w:p>
          <w:p w14:paraId="4EF2DB91" w14:textId="77777777" w:rsidR="00D2142D" w:rsidRDefault="00D2142D" w:rsidP="00322343">
            <w:pPr>
              <w:pStyle w:val="ListParagraph"/>
              <w:numPr>
                <w:ilvl w:val="0"/>
                <w:numId w:val="3"/>
              </w:numPr>
              <w:ind w:left="211" w:hanging="211"/>
            </w:pPr>
            <w:r>
              <w:t xml:space="preserve">Revisiting of prior learning is the starting point for each unit of learning  - consolidates understanding </w:t>
            </w:r>
          </w:p>
          <w:p w14:paraId="55DE1C52" w14:textId="77777777" w:rsidR="00D2142D" w:rsidRDefault="00D2142D" w:rsidP="00322343">
            <w:pPr>
              <w:pStyle w:val="ListParagraph"/>
              <w:numPr>
                <w:ilvl w:val="0"/>
                <w:numId w:val="3"/>
              </w:numPr>
              <w:ind w:left="211" w:hanging="211"/>
            </w:pPr>
            <w:r>
              <w:t>End points ensure progression</w:t>
            </w:r>
          </w:p>
          <w:p w14:paraId="44F15D0A" w14:textId="77777777" w:rsidR="00322343" w:rsidRDefault="00322343" w:rsidP="00322343">
            <w:pPr>
              <w:pStyle w:val="ListParagraph"/>
              <w:numPr>
                <w:ilvl w:val="0"/>
                <w:numId w:val="3"/>
              </w:numPr>
              <w:ind w:left="211" w:hanging="211"/>
            </w:pPr>
            <w:r>
              <w:t>Implementation plans developed in foundation subjects to guide learning journeys and support non-specialist staff</w:t>
            </w:r>
          </w:p>
          <w:p w14:paraId="7A8B2E02" w14:textId="3F6D8572" w:rsidR="00322343" w:rsidRDefault="00D2142D" w:rsidP="00322343">
            <w:pPr>
              <w:pStyle w:val="ListParagraph"/>
              <w:numPr>
                <w:ilvl w:val="0"/>
                <w:numId w:val="3"/>
              </w:numPr>
              <w:ind w:left="211" w:hanging="211"/>
            </w:pPr>
            <w:r>
              <w:t>Fieldwork becoming embedded in Geography to support development of knowledge and skills</w:t>
            </w:r>
          </w:p>
          <w:p w14:paraId="67A5419A" w14:textId="53B7A53E" w:rsidR="003D5DF2" w:rsidRDefault="003D5DF2" w:rsidP="00322343">
            <w:pPr>
              <w:pStyle w:val="ListParagraph"/>
              <w:numPr>
                <w:ilvl w:val="0"/>
                <w:numId w:val="3"/>
              </w:numPr>
              <w:ind w:left="211" w:hanging="211"/>
            </w:pPr>
            <w:r>
              <w:t xml:space="preserve">Science – embedding of enquiry across school – set enquiries and progression of skills </w:t>
            </w:r>
          </w:p>
          <w:p w14:paraId="4870F9B6" w14:textId="77777777" w:rsidR="00D2142D" w:rsidRDefault="00D2142D" w:rsidP="00322343">
            <w:pPr>
              <w:pStyle w:val="ListParagraph"/>
              <w:numPr>
                <w:ilvl w:val="0"/>
                <w:numId w:val="3"/>
              </w:numPr>
              <w:ind w:left="211" w:hanging="211"/>
            </w:pPr>
            <w:r>
              <w:t xml:space="preserve">Greater emphasis on local history to engage pupils </w:t>
            </w:r>
          </w:p>
          <w:p w14:paraId="268EADE9" w14:textId="77777777" w:rsidR="00D2142D" w:rsidRDefault="00D2142D" w:rsidP="00322343">
            <w:pPr>
              <w:pStyle w:val="ListParagraph"/>
              <w:numPr>
                <w:ilvl w:val="0"/>
                <w:numId w:val="3"/>
              </w:numPr>
              <w:ind w:left="211" w:hanging="211"/>
            </w:pPr>
            <w:r>
              <w:t xml:space="preserve">Core learning experiences across school </w:t>
            </w:r>
            <w:proofErr w:type="spellStart"/>
            <w:r>
              <w:t>eg</w:t>
            </w:r>
            <w:proofErr w:type="spellEnd"/>
            <w:r>
              <w:t xml:space="preserve"> visits to faith centres to engage pupils and consolidate understanding</w:t>
            </w:r>
          </w:p>
          <w:p w14:paraId="3128A60B" w14:textId="4AB290E5" w:rsidR="003D5DF2" w:rsidRDefault="003D5DF2" w:rsidP="00322343">
            <w:pPr>
              <w:pStyle w:val="ListParagraph"/>
              <w:numPr>
                <w:ilvl w:val="0"/>
                <w:numId w:val="3"/>
              </w:numPr>
              <w:ind w:left="211" w:hanging="211"/>
            </w:pPr>
            <w:r>
              <w:t>Review of timetables and set times for subjects across KS1 and KS2</w:t>
            </w:r>
          </w:p>
        </w:tc>
        <w:tc>
          <w:tcPr>
            <w:tcW w:w="5472" w:type="dxa"/>
          </w:tcPr>
          <w:p w14:paraId="15DEB1D0" w14:textId="77777777" w:rsidR="005036A6" w:rsidRDefault="005A4C06" w:rsidP="005A4C06">
            <w:pPr>
              <w:pStyle w:val="ListParagraph"/>
              <w:numPr>
                <w:ilvl w:val="0"/>
                <w:numId w:val="3"/>
              </w:numPr>
              <w:ind w:left="122" w:hanging="142"/>
            </w:pPr>
            <w:r>
              <w:t xml:space="preserve"> All subject leaders have monitoring time as per the subject leadersh</w:t>
            </w:r>
            <w:r w:rsidR="00DD6BF0">
              <w:t>ip cycle</w:t>
            </w:r>
          </w:p>
          <w:p w14:paraId="1832BFD1" w14:textId="77777777" w:rsidR="003D5DF2" w:rsidRDefault="003D5DF2" w:rsidP="005A4C06">
            <w:pPr>
              <w:pStyle w:val="ListParagraph"/>
              <w:numPr>
                <w:ilvl w:val="0"/>
                <w:numId w:val="3"/>
              </w:numPr>
              <w:ind w:left="122" w:hanging="142"/>
            </w:pPr>
            <w:r>
              <w:t>Pupil discussions evidence pupils are more confident in subject specific skills, knowledge and understanding across the curriculum.</w:t>
            </w:r>
          </w:p>
          <w:p w14:paraId="0AEC5194" w14:textId="32BF15F6" w:rsidR="008836ED" w:rsidRDefault="008836ED" w:rsidP="005A4C06">
            <w:pPr>
              <w:pStyle w:val="ListParagraph"/>
              <w:numPr>
                <w:ilvl w:val="0"/>
                <w:numId w:val="3"/>
              </w:numPr>
              <w:ind w:left="122" w:hanging="142"/>
            </w:pPr>
            <w:r>
              <w:t xml:space="preserve">Post </w:t>
            </w:r>
            <w:proofErr w:type="spellStart"/>
            <w:r>
              <w:t>Covid</w:t>
            </w:r>
            <w:proofErr w:type="spellEnd"/>
            <w:r>
              <w:t xml:space="preserve"> assessment shows that the % at ARE is rising in each subject and returning to pre-pandemic levels.</w:t>
            </w:r>
          </w:p>
          <w:p w14:paraId="7F76AF30" w14:textId="5B49BA3F" w:rsidR="003D5DF2" w:rsidRDefault="003D5DF2" w:rsidP="003D5DF2">
            <w:pPr>
              <w:pStyle w:val="ListParagraph"/>
              <w:ind w:left="122"/>
            </w:pPr>
          </w:p>
        </w:tc>
      </w:tr>
      <w:tr w:rsidR="00DD6BF0" w14:paraId="32E11797" w14:textId="77777777" w:rsidTr="00A13292">
        <w:tc>
          <w:tcPr>
            <w:tcW w:w="4508" w:type="dxa"/>
          </w:tcPr>
          <w:p w14:paraId="323DFAB1" w14:textId="77777777" w:rsidR="005036A6" w:rsidRDefault="005036A6">
            <w:r>
              <w:t xml:space="preserve">Continue to eradicate any inconsistencies in teaching by sharing good practice systematically </w:t>
            </w:r>
          </w:p>
        </w:tc>
        <w:tc>
          <w:tcPr>
            <w:tcW w:w="5471" w:type="dxa"/>
          </w:tcPr>
          <w:p w14:paraId="2D477C8A" w14:textId="0DAE894E" w:rsidR="005A4C06" w:rsidRDefault="005A4C06" w:rsidP="00D919FE">
            <w:pPr>
              <w:pStyle w:val="ListParagraph"/>
              <w:numPr>
                <w:ilvl w:val="0"/>
                <w:numId w:val="4"/>
              </w:numPr>
              <w:ind w:left="353" w:hanging="353"/>
            </w:pPr>
            <w:r>
              <w:t>Strong teaching profile across school – weaker teaching is addressed via ‘securing good’ plans and staff supported by a Phase Leader who displays outstanding teaching</w:t>
            </w:r>
          </w:p>
          <w:p w14:paraId="6199FD12" w14:textId="2D8E5870" w:rsidR="00125A9B" w:rsidRDefault="00125A9B" w:rsidP="00125A9B">
            <w:pPr>
              <w:pStyle w:val="ListParagraph"/>
              <w:numPr>
                <w:ilvl w:val="0"/>
                <w:numId w:val="4"/>
              </w:numPr>
              <w:ind w:left="353" w:hanging="353"/>
            </w:pPr>
            <w:r>
              <w:t>Recruitment and induction of ECTs.</w:t>
            </w:r>
          </w:p>
          <w:p w14:paraId="6B9866A4" w14:textId="72B695B4" w:rsidR="00125A9B" w:rsidRDefault="00D919FE" w:rsidP="00125A9B">
            <w:pPr>
              <w:pStyle w:val="ListParagraph"/>
              <w:numPr>
                <w:ilvl w:val="0"/>
                <w:numId w:val="4"/>
              </w:numPr>
              <w:ind w:left="353" w:hanging="353"/>
            </w:pPr>
            <w:r>
              <w:t xml:space="preserve">Programme of </w:t>
            </w:r>
            <w:r w:rsidR="005A4C06">
              <w:t xml:space="preserve">in-house </w:t>
            </w:r>
            <w:r>
              <w:t xml:space="preserve">observations within school for ECTS </w:t>
            </w:r>
          </w:p>
          <w:p w14:paraId="6C7CE92A" w14:textId="1B25F6BD" w:rsidR="00D919FE" w:rsidRDefault="00D919FE" w:rsidP="00D919FE">
            <w:pPr>
              <w:pStyle w:val="ListParagraph"/>
              <w:numPr>
                <w:ilvl w:val="0"/>
                <w:numId w:val="4"/>
              </w:numPr>
              <w:ind w:left="353" w:hanging="353"/>
            </w:pPr>
            <w:r>
              <w:t xml:space="preserve">Weaker teaching / inconsistencies </w:t>
            </w:r>
            <w:r w:rsidR="005A4C06">
              <w:t>identified via monitoring of planning / books,</w:t>
            </w:r>
            <w:r>
              <w:t xml:space="preserve"> observations and pupil progress data</w:t>
            </w:r>
            <w:r w:rsidR="00E93128">
              <w:t>. Improvement plans are put in place if there is cause for concern</w:t>
            </w:r>
          </w:p>
          <w:p w14:paraId="2BA5BDC7" w14:textId="77777777" w:rsidR="00D919FE" w:rsidRDefault="005A4C06" w:rsidP="00D919FE">
            <w:pPr>
              <w:pStyle w:val="ListParagraph"/>
              <w:numPr>
                <w:ilvl w:val="0"/>
                <w:numId w:val="4"/>
              </w:numPr>
              <w:ind w:left="353" w:hanging="353"/>
            </w:pPr>
            <w:r>
              <w:t>Recent s</w:t>
            </w:r>
            <w:r w:rsidR="00D919FE">
              <w:t xml:space="preserve">trong appointments </w:t>
            </w:r>
            <w:r>
              <w:t xml:space="preserve">across school </w:t>
            </w:r>
            <w:r w:rsidR="00D919FE">
              <w:t>have raised profile</w:t>
            </w:r>
            <w:r>
              <w:t xml:space="preserve"> of teaching – it is securely good across school with areas of outstanding teaching in EYFS and both Key Stages</w:t>
            </w:r>
          </w:p>
          <w:p w14:paraId="0EC72DB9" w14:textId="0BC4161D" w:rsidR="005A4C06" w:rsidRDefault="005A4C06" w:rsidP="00D919FE">
            <w:pPr>
              <w:pStyle w:val="ListParagraph"/>
              <w:numPr>
                <w:ilvl w:val="0"/>
                <w:numId w:val="4"/>
              </w:numPr>
              <w:ind w:left="353" w:hanging="353"/>
            </w:pPr>
            <w:r>
              <w:lastRenderedPageBreak/>
              <w:t xml:space="preserve">Emphasis placed on internal and external moderation in Writing and Maths </w:t>
            </w:r>
          </w:p>
        </w:tc>
        <w:tc>
          <w:tcPr>
            <w:tcW w:w="5472" w:type="dxa"/>
          </w:tcPr>
          <w:p w14:paraId="2449BAE1" w14:textId="316281DB" w:rsidR="003D5DF2" w:rsidRDefault="005A4C06" w:rsidP="003D5DF2">
            <w:pPr>
              <w:pStyle w:val="ListParagraph"/>
              <w:numPr>
                <w:ilvl w:val="0"/>
                <w:numId w:val="4"/>
              </w:numPr>
              <w:ind w:left="122" w:hanging="122"/>
            </w:pPr>
            <w:r>
              <w:lastRenderedPageBreak/>
              <w:t xml:space="preserve"> Internal progress data evidences strong progress in Reading, Writing and Maths</w:t>
            </w:r>
            <w:r w:rsidR="003D5DF2">
              <w:t xml:space="preserve"> to Spring 1</w:t>
            </w:r>
          </w:p>
          <w:p w14:paraId="2B1C773E" w14:textId="77777777" w:rsidR="003D5DF2" w:rsidRDefault="003D5DF2" w:rsidP="003D5DF2">
            <w:pPr>
              <w:pStyle w:val="ListParagraph"/>
              <w:ind w:left="122"/>
            </w:pPr>
          </w:p>
          <w:tbl>
            <w:tblPr>
              <w:tblStyle w:val="TableGrid"/>
              <w:tblW w:w="0" w:type="auto"/>
              <w:tblInd w:w="1629" w:type="dxa"/>
              <w:tblLook w:val="04A0" w:firstRow="1" w:lastRow="0" w:firstColumn="1" w:lastColumn="0" w:noHBand="0" w:noVBand="1"/>
            </w:tblPr>
            <w:tblGrid>
              <w:gridCol w:w="545"/>
              <w:gridCol w:w="776"/>
              <w:gridCol w:w="832"/>
              <w:gridCol w:w="895"/>
            </w:tblGrid>
            <w:tr w:rsidR="00DD6BF0" w14:paraId="119F4E3F" w14:textId="77777777" w:rsidTr="00DD6BF0">
              <w:tc>
                <w:tcPr>
                  <w:tcW w:w="545" w:type="dxa"/>
                </w:tcPr>
                <w:p w14:paraId="7F0C2B7B" w14:textId="77777777" w:rsidR="00DD6BF0" w:rsidRDefault="00DD6BF0" w:rsidP="00DD6BF0">
                  <w:pPr>
                    <w:pStyle w:val="ListParagraph"/>
                    <w:ind w:left="0"/>
                  </w:pPr>
                </w:p>
              </w:tc>
              <w:tc>
                <w:tcPr>
                  <w:tcW w:w="776" w:type="dxa"/>
                </w:tcPr>
                <w:p w14:paraId="10ED063F" w14:textId="098D2E7A" w:rsidR="00DD6BF0" w:rsidRDefault="00DD6BF0" w:rsidP="00DD6BF0">
                  <w:pPr>
                    <w:pStyle w:val="ListParagraph"/>
                    <w:ind w:left="0"/>
                  </w:pPr>
                  <w:r>
                    <w:t>Read</w:t>
                  </w:r>
                </w:p>
              </w:tc>
              <w:tc>
                <w:tcPr>
                  <w:tcW w:w="832" w:type="dxa"/>
                </w:tcPr>
                <w:p w14:paraId="70155C66" w14:textId="7A187AF6" w:rsidR="00DD6BF0" w:rsidRDefault="00DD6BF0" w:rsidP="00DD6BF0">
                  <w:pPr>
                    <w:pStyle w:val="ListParagraph"/>
                    <w:ind w:left="0"/>
                  </w:pPr>
                  <w:r>
                    <w:t>Write</w:t>
                  </w:r>
                </w:p>
              </w:tc>
              <w:tc>
                <w:tcPr>
                  <w:tcW w:w="895" w:type="dxa"/>
                </w:tcPr>
                <w:p w14:paraId="7E86BA20" w14:textId="071DBD87" w:rsidR="00DD6BF0" w:rsidRDefault="00DD6BF0" w:rsidP="00DD6BF0">
                  <w:pPr>
                    <w:pStyle w:val="ListParagraph"/>
                    <w:ind w:left="0"/>
                  </w:pPr>
                  <w:r>
                    <w:t>Maths</w:t>
                  </w:r>
                </w:p>
              </w:tc>
            </w:tr>
            <w:tr w:rsidR="00DD6BF0" w14:paraId="046FFD1B" w14:textId="77777777" w:rsidTr="003D5DF2">
              <w:tc>
                <w:tcPr>
                  <w:tcW w:w="545" w:type="dxa"/>
                </w:tcPr>
                <w:p w14:paraId="27897AAA" w14:textId="641116FC" w:rsidR="00DD6BF0" w:rsidRDefault="00DD6BF0" w:rsidP="00DD6BF0">
                  <w:pPr>
                    <w:pStyle w:val="ListParagraph"/>
                    <w:ind w:left="0"/>
                  </w:pPr>
                  <w:r>
                    <w:t>Y1</w:t>
                  </w:r>
                </w:p>
              </w:tc>
              <w:tc>
                <w:tcPr>
                  <w:tcW w:w="776" w:type="dxa"/>
                  <w:shd w:val="clear" w:color="auto" w:fill="DEEAF6" w:themeFill="accent5" w:themeFillTint="33"/>
                </w:tcPr>
                <w:p w14:paraId="603392F0" w14:textId="5B2E4A62" w:rsidR="00DD6BF0" w:rsidRDefault="00DD6BF0" w:rsidP="00DD6BF0">
                  <w:pPr>
                    <w:pStyle w:val="ListParagraph"/>
                    <w:ind w:left="0"/>
                  </w:pPr>
                  <w:r>
                    <w:t>4.0</w:t>
                  </w:r>
                </w:p>
              </w:tc>
              <w:tc>
                <w:tcPr>
                  <w:tcW w:w="832" w:type="dxa"/>
                  <w:shd w:val="clear" w:color="auto" w:fill="92D050"/>
                </w:tcPr>
                <w:p w14:paraId="3598F075" w14:textId="4DC2D7DB" w:rsidR="00DD6BF0" w:rsidRDefault="00DD6BF0" w:rsidP="00DD6BF0">
                  <w:pPr>
                    <w:pStyle w:val="ListParagraph"/>
                    <w:ind w:left="0"/>
                  </w:pPr>
                  <w:r>
                    <w:t>3.2</w:t>
                  </w:r>
                </w:p>
              </w:tc>
              <w:tc>
                <w:tcPr>
                  <w:tcW w:w="895" w:type="dxa"/>
                  <w:shd w:val="clear" w:color="auto" w:fill="DEEAF6" w:themeFill="accent5" w:themeFillTint="33"/>
                </w:tcPr>
                <w:p w14:paraId="474D883A" w14:textId="2CE37F2C" w:rsidR="00DD6BF0" w:rsidRDefault="00DD6BF0" w:rsidP="00DD6BF0">
                  <w:pPr>
                    <w:pStyle w:val="ListParagraph"/>
                    <w:ind w:left="0"/>
                  </w:pPr>
                  <w:r>
                    <w:t>4.2</w:t>
                  </w:r>
                </w:p>
              </w:tc>
            </w:tr>
            <w:tr w:rsidR="00DD6BF0" w14:paraId="69147DFC" w14:textId="77777777" w:rsidTr="003D5DF2">
              <w:tc>
                <w:tcPr>
                  <w:tcW w:w="545" w:type="dxa"/>
                </w:tcPr>
                <w:p w14:paraId="574D94BA" w14:textId="1DD018F3" w:rsidR="00DD6BF0" w:rsidRDefault="00DD6BF0" w:rsidP="00DD6BF0">
                  <w:pPr>
                    <w:pStyle w:val="ListParagraph"/>
                    <w:ind w:left="0"/>
                  </w:pPr>
                  <w:r>
                    <w:t>Y2</w:t>
                  </w:r>
                </w:p>
              </w:tc>
              <w:tc>
                <w:tcPr>
                  <w:tcW w:w="776" w:type="dxa"/>
                  <w:shd w:val="clear" w:color="auto" w:fill="92D050"/>
                </w:tcPr>
                <w:p w14:paraId="564F8BF2" w14:textId="3FDAD780" w:rsidR="00DD6BF0" w:rsidRDefault="00DD6BF0" w:rsidP="00DD6BF0">
                  <w:pPr>
                    <w:pStyle w:val="ListParagraph"/>
                    <w:ind w:left="0"/>
                  </w:pPr>
                  <w:r>
                    <w:t>3.4</w:t>
                  </w:r>
                </w:p>
              </w:tc>
              <w:tc>
                <w:tcPr>
                  <w:tcW w:w="832" w:type="dxa"/>
                  <w:shd w:val="clear" w:color="auto" w:fill="92D050"/>
                </w:tcPr>
                <w:p w14:paraId="44B89DBA" w14:textId="5D5113FA" w:rsidR="00DD6BF0" w:rsidRDefault="00DD6BF0" w:rsidP="00DD6BF0">
                  <w:pPr>
                    <w:pStyle w:val="ListParagraph"/>
                    <w:ind w:left="0"/>
                  </w:pPr>
                  <w:r>
                    <w:t>3.1</w:t>
                  </w:r>
                </w:p>
              </w:tc>
              <w:tc>
                <w:tcPr>
                  <w:tcW w:w="895" w:type="dxa"/>
                  <w:shd w:val="clear" w:color="auto" w:fill="92D050"/>
                </w:tcPr>
                <w:p w14:paraId="7987C81A" w14:textId="1CB97085" w:rsidR="00DD6BF0" w:rsidRDefault="00DD6BF0" w:rsidP="00DD6BF0">
                  <w:pPr>
                    <w:pStyle w:val="ListParagraph"/>
                    <w:ind w:left="0"/>
                  </w:pPr>
                  <w:r>
                    <w:t>3.4</w:t>
                  </w:r>
                </w:p>
              </w:tc>
            </w:tr>
            <w:tr w:rsidR="00DD6BF0" w14:paraId="1C020EFB" w14:textId="77777777" w:rsidTr="003D5DF2">
              <w:tc>
                <w:tcPr>
                  <w:tcW w:w="545" w:type="dxa"/>
                </w:tcPr>
                <w:p w14:paraId="52322628" w14:textId="3CB9ED20" w:rsidR="00DD6BF0" w:rsidRDefault="00DD6BF0" w:rsidP="00DD6BF0">
                  <w:pPr>
                    <w:pStyle w:val="ListParagraph"/>
                    <w:ind w:left="0"/>
                  </w:pPr>
                  <w:r>
                    <w:t>Y3</w:t>
                  </w:r>
                </w:p>
              </w:tc>
              <w:tc>
                <w:tcPr>
                  <w:tcW w:w="776" w:type="dxa"/>
                  <w:shd w:val="clear" w:color="auto" w:fill="DEEAF6" w:themeFill="accent5" w:themeFillTint="33"/>
                </w:tcPr>
                <w:p w14:paraId="68EE9ECD" w14:textId="19F945EB" w:rsidR="00DD6BF0" w:rsidRDefault="00DD6BF0" w:rsidP="00DD6BF0">
                  <w:pPr>
                    <w:pStyle w:val="ListParagraph"/>
                    <w:ind w:left="0"/>
                  </w:pPr>
                  <w:r>
                    <w:t>4.1</w:t>
                  </w:r>
                </w:p>
              </w:tc>
              <w:tc>
                <w:tcPr>
                  <w:tcW w:w="832" w:type="dxa"/>
                  <w:shd w:val="clear" w:color="auto" w:fill="92D050"/>
                </w:tcPr>
                <w:p w14:paraId="254F093F" w14:textId="78DF3269" w:rsidR="00DD6BF0" w:rsidRDefault="00DD6BF0" w:rsidP="00DD6BF0">
                  <w:pPr>
                    <w:pStyle w:val="ListParagraph"/>
                    <w:ind w:left="0"/>
                  </w:pPr>
                  <w:r>
                    <w:t>3.6</w:t>
                  </w:r>
                </w:p>
              </w:tc>
              <w:tc>
                <w:tcPr>
                  <w:tcW w:w="895" w:type="dxa"/>
                  <w:shd w:val="clear" w:color="auto" w:fill="92D050"/>
                </w:tcPr>
                <w:p w14:paraId="64228981" w14:textId="15821E60" w:rsidR="00DD6BF0" w:rsidRDefault="00DD6BF0" w:rsidP="00DD6BF0">
                  <w:pPr>
                    <w:pStyle w:val="ListParagraph"/>
                    <w:ind w:left="0"/>
                  </w:pPr>
                  <w:r>
                    <w:t>3</w:t>
                  </w:r>
                  <w:r w:rsidR="003D5DF2">
                    <w:t>.</w:t>
                  </w:r>
                  <w:r>
                    <w:t>9</w:t>
                  </w:r>
                </w:p>
              </w:tc>
            </w:tr>
            <w:tr w:rsidR="00DD6BF0" w14:paraId="03E1E498" w14:textId="77777777" w:rsidTr="003D5DF2">
              <w:tc>
                <w:tcPr>
                  <w:tcW w:w="545" w:type="dxa"/>
                </w:tcPr>
                <w:p w14:paraId="160562FE" w14:textId="52787E3B" w:rsidR="00DD6BF0" w:rsidRDefault="00DD6BF0" w:rsidP="00DD6BF0">
                  <w:pPr>
                    <w:pStyle w:val="ListParagraph"/>
                    <w:ind w:left="0"/>
                  </w:pPr>
                  <w:r>
                    <w:t>Y4</w:t>
                  </w:r>
                </w:p>
              </w:tc>
              <w:tc>
                <w:tcPr>
                  <w:tcW w:w="776" w:type="dxa"/>
                  <w:shd w:val="clear" w:color="auto" w:fill="92D050"/>
                </w:tcPr>
                <w:p w14:paraId="67B35967" w14:textId="69DC7A5B" w:rsidR="00DD6BF0" w:rsidRDefault="00DD6BF0" w:rsidP="00DD6BF0">
                  <w:pPr>
                    <w:pStyle w:val="ListParagraph"/>
                    <w:ind w:left="0"/>
                  </w:pPr>
                  <w:r>
                    <w:t>3.1</w:t>
                  </w:r>
                </w:p>
              </w:tc>
              <w:tc>
                <w:tcPr>
                  <w:tcW w:w="832" w:type="dxa"/>
                  <w:shd w:val="clear" w:color="auto" w:fill="FBE4D5" w:themeFill="accent2" w:themeFillTint="33"/>
                </w:tcPr>
                <w:p w14:paraId="6679A7EC" w14:textId="52CE6376" w:rsidR="00DD6BF0" w:rsidRDefault="00DD6BF0" w:rsidP="00DD6BF0">
                  <w:pPr>
                    <w:pStyle w:val="ListParagraph"/>
                    <w:ind w:left="0"/>
                  </w:pPr>
                  <w:r>
                    <w:t>2.9</w:t>
                  </w:r>
                </w:p>
              </w:tc>
              <w:tc>
                <w:tcPr>
                  <w:tcW w:w="895" w:type="dxa"/>
                  <w:shd w:val="clear" w:color="auto" w:fill="92D050"/>
                </w:tcPr>
                <w:p w14:paraId="642BEAF7" w14:textId="05BF8FB1" w:rsidR="00DD6BF0" w:rsidRDefault="00DD6BF0" w:rsidP="00DD6BF0">
                  <w:pPr>
                    <w:pStyle w:val="ListParagraph"/>
                    <w:ind w:left="0"/>
                  </w:pPr>
                  <w:r>
                    <w:t>3.2</w:t>
                  </w:r>
                </w:p>
              </w:tc>
            </w:tr>
            <w:tr w:rsidR="00DD6BF0" w14:paraId="4FA6A9E6" w14:textId="77777777" w:rsidTr="003D5DF2">
              <w:tc>
                <w:tcPr>
                  <w:tcW w:w="545" w:type="dxa"/>
                </w:tcPr>
                <w:p w14:paraId="0C0B4D0D" w14:textId="4A4E6773" w:rsidR="00DD6BF0" w:rsidRDefault="00DD6BF0" w:rsidP="00DD6BF0">
                  <w:pPr>
                    <w:pStyle w:val="ListParagraph"/>
                    <w:ind w:left="0"/>
                  </w:pPr>
                  <w:r>
                    <w:t>Y5</w:t>
                  </w:r>
                </w:p>
              </w:tc>
              <w:tc>
                <w:tcPr>
                  <w:tcW w:w="776" w:type="dxa"/>
                  <w:shd w:val="clear" w:color="auto" w:fill="DEEAF6" w:themeFill="accent5" w:themeFillTint="33"/>
                </w:tcPr>
                <w:p w14:paraId="2897972F" w14:textId="497AC440" w:rsidR="00DD6BF0" w:rsidRDefault="00DD6BF0" w:rsidP="00DD6BF0">
                  <w:pPr>
                    <w:pStyle w:val="ListParagraph"/>
                    <w:ind w:left="0"/>
                  </w:pPr>
                  <w:r>
                    <w:t>4.3</w:t>
                  </w:r>
                </w:p>
              </w:tc>
              <w:tc>
                <w:tcPr>
                  <w:tcW w:w="832" w:type="dxa"/>
                  <w:shd w:val="clear" w:color="auto" w:fill="DEEAF6" w:themeFill="accent5" w:themeFillTint="33"/>
                </w:tcPr>
                <w:p w14:paraId="5A8FA709" w14:textId="02C9169A" w:rsidR="00DD6BF0" w:rsidRDefault="00DD6BF0" w:rsidP="00DD6BF0">
                  <w:pPr>
                    <w:pStyle w:val="ListParagraph"/>
                    <w:ind w:left="0"/>
                  </w:pPr>
                  <w:r>
                    <w:t>4.4</w:t>
                  </w:r>
                </w:p>
              </w:tc>
              <w:tc>
                <w:tcPr>
                  <w:tcW w:w="895" w:type="dxa"/>
                  <w:shd w:val="clear" w:color="auto" w:fill="DEEAF6" w:themeFill="accent5" w:themeFillTint="33"/>
                </w:tcPr>
                <w:p w14:paraId="5407F09D" w14:textId="71977192" w:rsidR="00DD6BF0" w:rsidRDefault="00DD6BF0" w:rsidP="00DD6BF0">
                  <w:pPr>
                    <w:pStyle w:val="ListParagraph"/>
                    <w:ind w:left="0"/>
                  </w:pPr>
                  <w:r>
                    <w:t>4.3</w:t>
                  </w:r>
                </w:p>
              </w:tc>
            </w:tr>
            <w:tr w:rsidR="00DD6BF0" w14:paraId="3A9FDF22" w14:textId="77777777" w:rsidTr="003D5DF2">
              <w:tc>
                <w:tcPr>
                  <w:tcW w:w="545" w:type="dxa"/>
                </w:tcPr>
                <w:p w14:paraId="47D0C7DA" w14:textId="00A04526" w:rsidR="00DD6BF0" w:rsidRDefault="00DD6BF0" w:rsidP="00DD6BF0">
                  <w:pPr>
                    <w:pStyle w:val="ListParagraph"/>
                    <w:ind w:left="0"/>
                  </w:pPr>
                  <w:r>
                    <w:t>Y6</w:t>
                  </w:r>
                </w:p>
              </w:tc>
              <w:tc>
                <w:tcPr>
                  <w:tcW w:w="776" w:type="dxa"/>
                  <w:shd w:val="clear" w:color="auto" w:fill="92D050"/>
                </w:tcPr>
                <w:p w14:paraId="2F8FD43B" w14:textId="76B5A7DB" w:rsidR="00DD6BF0" w:rsidRDefault="00DD6BF0" w:rsidP="00DD6BF0">
                  <w:pPr>
                    <w:pStyle w:val="ListParagraph"/>
                    <w:ind w:left="0"/>
                  </w:pPr>
                  <w:r>
                    <w:t>3.7</w:t>
                  </w:r>
                </w:p>
              </w:tc>
              <w:tc>
                <w:tcPr>
                  <w:tcW w:w="832" w:type="dxa"/>
                  <w:shd w:val="clear" w:color="auto" w:fill="92D050"/>
                </w:tcPr>
                <w:p w14:paraId="3BCDB3B3" w14:textId="574417C6" w:rsidR="00DD6BF0" w:rsidRDefault="00DD6BF0" w:rsidP="00DD6BF0">
                  <w:pPr>
                    <w:pStyle w:val="ListParagraph"/>
                    <w:ind w:left="0"/>
                  </w:pPr>
                  <w:r>
                    <w:t>3.4</w:t>
                  </w:r>
                </w:p>
              </w:tc>
              <w:tc>
                <w:tcPr>
                  <w:tcW w:w="895" w:type="dxa"/>
                  <w:shd w:val="clear" w:color="auto" w:fill="92D050"/>
                </w:tcPr>
                <w:p w14:paraId="5D73B2D1" w14:textId="0D357636" w:rsidR="00DD6BF0" w:rsidRDefault="00DD6BF0" w:rsidP="00DD6BF0">
                  <w:pPr>
                    <w:pStyle w:val="ListParagraph"/>
                    <w:ind w:left="0"/>
                  </w:pPr>
                  <w:r>
                    <w:t>3.8</w:t>
                  </w:r>
                </w:p>
              </w:tc>
            </w:tr>
          </w:tbl>
          <w:p w14:paraId="5D0C39FF" w14:textId="77777777" w:rsidR="003D5DF2" w:rsidRDefault="003D5DF2" w:rsidP="003D5DF2">
            <w:pPr>
              <w:pStyle w:val="ListParagraph"/>
              <w:ind w:left="122"/>
            </w:pPr>
          </w:p>
          <w:p w14:paraId="222272D7" w14:textId="3919D729" w:rsidR="00DD6BF0" w:rsidRDefault="003D5DF2" w:rsidP="003D5DF2">
            <w:pPr>
              <w:pStyle w:val="ListParagraph"/>
              <w:ind w:left="122"/>
            </w:pPr>
            <w:r>
              <w:t>Expected progress is 3.0 to Spring 1</w:t>
            </w:r>
          </w:p>
          <w:p w14:paraId="2F600C79" w14:textId="3F24B315" w:rsidR="003D5DF2" w:rsidRDefault="003D5DF2" w:rsidP="003D5DF2">
            <w:pPr>
              <w:pStyle w:val="ListParagraph"/>
              <w:numPr>
                <w:ilvl w:val="0"/>
                <w:numId w:val="6"/>
              </w:numPr>
              <w:ind w:left="122" w:hanging="122"/>
            </w:pPr>
            <w:r>
              <w:t xml:space="preserve"> Book scrutiny evidences strong progress and triangulates data </w:t>
            </w:r>
          </w:p>
          <w:p w14:paraId="29C7E0A3" w14:textId="213BA73B" w:rsidR="00DD6BF0" w:rsidRDefault="00DD6BF0" w:rsidP="00DD6BF0"/>
          <w:p w14:paraId="0A31C862" w14:textId="5704B335" w:rsidR="00DD6BF0" w:rsidRDefault="00DD6BF0" w:rsidP="00DD6BF0"/>
        </w:tc>
      </w:tr>
      <w:tr w:rsidR="00DD6BF0" w14:paraId="54EFF305" w14:textId="77777777" w:rsidTr="00A13292">
        <w:tc>
          <w:tcPr>
            <w:tcW w:w="4508" w:type="dxa"/>
          </w:tcPr>
          <w:p w14:paraId="0052DA58" w14:textId="77777777" w:rsidR="005036A6" w:rsidRDefault="005036A6">
            <w:r>
              <w:lastRenderedPageBreak/>
              <w:t>Continue to bear down relentlessly on the poorer attendance of the small group of pupils who are persistently absent from school.</w:t>
            </w:r>
          </w:p>
        </w:tc>
        <w:tc>
          <w:tcPr>
            <w:tcW w:w="5471" w:type="dxa"/>
          </w:tcPr>
          <w:p w14:paraId="5F3B0CB8" w14:textId="2A469E57" w:rsidR="0035056A" w:rsidRDefault="0035056A" w:rsidP="0023110C">
            <w:pPr>
              <w:pStyle w:val="ListParagraph"/>
              <w:numPr>
                <w:ilvl w:val="0"/>
                <w:numId w:val="6"/>
              </w:numPr>
              <w:ind w:left="340" w:hanging="340"/>
            </w:pPr>
            <w:r>
              <w:t>Daily attendance monitoring by admin staff.</w:t>
            </w:r>
          </w:p>
          <w:p w14:paraId="723530DE" w14:textId="609AD93B" w:rsidR="0035056A" w:rsidRDefault="0035056A" w:rsidP="0023110C">
            <w:pPr>
              <w:pStyle w:val="ListParagraph"/>
              <w:numPr>
                <w:ilvl w:val="0"/>
                <w:numId w:val="6"/>
              </w:numPr>
              <w:ind w:left="340" w:hanging="340"/>
            </w:pPr>
            <w:r>
              <w:t xml:space="preserve">Pastoral follow up by Inclusion leads. </w:t>
            </w:r>
          </w:p>
          <w:p w14:paraId="33A96244" w14:textId="15D6745F" w:rsidR="0035056A" w:rsidRDefault="0035056A" w:rsidP="0023110C">
            <w:pPr>
              <w:pStyle w:val="ListParagraph"/>
              <w:numPr>
                <w:ilvl w:val="0"/>
                <w:numId w:val="6"/>
              </w:numPr>
              <w:ind w:left="340" w:hanging="340"/>
            </w:pPr>
            <w:r>
              <w:t>Weekly tracking of attendance data and patterns.</w:t>
            </w:r>
          </w:p>
          <w:p w14:paraId="2F0CA9FD" w14:textId="1F432F5A" w:rsidR="0035056A" w:rsidRDefault="0035056A" w:rsidP="0035056A">
            <w:pPr>
              <w:pStyle w:val="ListParagraph"/>
              <w:numPr>
                <w:ilvl w:val="0"/>
                <w:numId w:val="6"/>
              </w:numPr>
              <w:ind w:left="340" w:hanging="340"/>
            </w:pPr>
            <w:r>
              <w:t>Attendance officer support - schools w</w:t>
            </w:r>
            <w:r w:rsidR="0023110C">
              <w:t>ork</w:t>
            </w:r>
            <w:r>
              <w:t>s</w:t>
            </w:r>
            <w:r w:rsidR="0023110C">
              <w:t xml:space="preserve"> with local attendance company to address attendance and persistent absence</w:t>
            </w:r>
            <w:r>
              <w:t>.</w:t>
            </w:r>
          </w:p>
          <w:p w14:paraId="6F7C5E11" w14:textId="430C4200" w:rsidR="0035056A" w:rsidRDefault="0035056A" w:rsidP="0035056A">
            <w:pPr>
              <w:pStyle w:val="ListParagraph"/>
              <w:numPr>
                <w:ilvl w:val="0"/>
                <w:numId w:val="6"/>
              </w:numPr>
              <w:ind w:left="340" w:hanging="340"/>
            </w:pPr>
            <w:r>
              <w:t xml:space="preserve">Inclusion staff on doors at the start of school daily to challenge lateness. </w:t>
            </w:r>
          </w:p>
          <w:p w14:paraId="058F1752" w14:textId="366662CC" w:rsidR="0035056A" w:rsidRDefault="0035056A" w:rsidP="0035056A">
            <w:pPr>
              <w:pStyle w:val="ListParagraph"/>
              <w:numPr>
                <w:ilvl w:val="0"/>
                <w:numId w:val="6"/>
              </w:numPr>
              <w:ind w:left="340" w:hanging="340"/>
            </w:pPr>
            <w:r>
              <w:t xml:space="preserve">Head Teacher reports to the Governing Body on attendance at every full GB meeting. </w:t>
            </w:r>
            <w:bookmarkStart w:id="0" w:name="_GoBack"/>
            <w:bookmarkEnd w:id="0"/>
          </w:p>
        </w:tc>
        <w:tc>
          <w:tcPr>
            <w:tcW w:w="5472" w:type="dxa"/>
          </w:tcPr>
          <w:p w14:paraId="5731CA62" w14:textId="77777777" w:rsidR="0023110C" w:rsidRDefault="0023110C" w:rsidP="0023110C">
            <w:pPr>
              <w:rPr>
                <w:rFonts w:cstheme="minorHAnsi"/>
                <w:b/>
                <w:u w:val="single"/>
              </w:rPr>
            </w:pPr>
            <w:r w:rsidRPr="003D4EC6">
              <w:rPr>
                <w:rFonts w:cstheme="minorHAnsi"/>
                <w:b/>
                <w:u w:val="single"/>
              </w:rPr>
              <w:t>Attendance</w:t>
            </w:r>
            <w:r>
              <w:rPr>
                <w:rFonts w:cstheme="minorHAnsi"/>
                <w:b/>
                <w:u w:val="single"/>
              </w:rPr>
              <w:t xml:space="preserve"> – Current National Figures until Spring 2023</w:t>
            </w:r>
          </w:p>
          <w:p w14:paraId="2C2E05D1" w14:textId="77777777" w:rsidR="0023110C" w:rsidRDefault="0023110C" w:rsidP="00231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Nat: </w:t>
            </w:r>
            <w:proofErr w:type="spellStart"/>
            <w:r>
              <w:rPr>
                <w:rFonts w:ascii="Calibri" w:hAnsi="Calibri" w:cs="Calibri"/>
              </w:rPr>
              <w:t>Avg</w:t>
            </w:r>
            <w:proofErr w:type="spellEnd"/>
            <w:r>
              <w:rPr>
                <w:rFonts w:ascii="Calibri" w:hAnsi="Calibri" w:cs="Calibri"/>
              </w:rPr>
              <w:t>:              93.2%</w:t>
            </w:r>
          </w:p>
          <w:p w14:paraId="7CA1F232" w14:textId="77777777" w:rsidR="0023110C" w:rsidRDefault="0023110C" w:rsidP="00231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 </w:t>
            </w:r>
            <w:proofErr w:type="spellStart"/>
            <w:r>
              <w:rPr>
                <w:rFonts w:ascii="Calibri" w:hAnsi="Calibri" w:cs="Calibri"/>
              </w:rPr>
              <w:t>Avg</w:t>
            </w:r>
            <w:proofErr w:type="spellEnd"/>
            <w:r>
              <w:rPr>
                <w:rFonts w:ascii="Calibri" w:hAnsi="Calibri" w:cs="Calibri"/>
              </w:rPr>
              <w:t xml:space="preserve"> PA:         24%</w:t>
            </w:r>
          </w:p>
          <w:p w14:paraId="6BD56F1C" w14:textId="77777777" w:rsidR="0023110C" w:rsidRDefault="0023110C" w:rsidP="00231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 Illness:          5.0%</w:t>
            </w:r>
          </w:p>
          <w:p w14:paraId="76146441" w14:textId="77777777" w:rsidR="0023110C" w:rsidRDefault="0023110C" w:rsidP="0023110C">
            <w:pPr>
              <w:rPr>
                <w:rFonts w:cstheme="minorHAnsi"/>
              </w:rPr>
            </w:pPr>
          </w:p>
          <w:p w14:paraId="0756FECA" w14:textId="77777777" w:rsidR="0023110C" w:rsidRPr="00F62C83" w:rsidRDefault="0023110C" w:rsidP="0023110C">
            <w:pPr>
              <w:rPr>
                <w:b/>
                <w:u w:val="single"/>
              </w:rPr>
            </w:pPr>
            <w:r w:rsidRPr="00F62C83">
              <w:rPr>
                <w:b/>
                <w:u w:val="single"/>
              </w:rPr>
              <w:t>WPS</w:t>
            </w:r>
            <w:r>
              <w:rPr>
                <w:b/>
                <w:u w:val="single"/>
              </w:rPr>
              <w:t xml:space="preserve"> – up to w/e 17</w:t>
            </w:r>
            <w:r w:rsidRPr="009C689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March 2023</w:t>
            </w:r>
          </w:p>
          <w:p w14:paraId="2F793186" w14:textId="77777777" w:rsidR="0023110C" w:rsidRPr="00F62C83" w:rsidRDefault="0023110C" w:rsidP="0023110C">
            <w:pPr>
              <w:rPr>
                <w:rFonts w:cstheme="minorHAnsi"/>
              </w:rPr>
            </w:pPr>
            <w:r w:rsidRPr="00F62C83">
              <w:rPr>
                <w:rFonts w:cstheme="minorHAnsi"/>
              </w:rPr>
              <w:t>Whole School Year to Date</w:t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25211E">
              <w:rPr>
                <w:rFonts w:cstheme="minorHAnsi"/>
              </w:rPr>
              <w:t>92.</w:t>
            </w:r>
            <w:r>
              <w:rPr>
                <w:rFonts w:cstheme="minorHAnsi"/>
              </w:rPr>
              <w:t>3</w:t>
            </w:r>
            <w:r w:rsidRPr="0025211E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- up 0.2</w:t>
            </w:r>
          </w:p>
          <w:p w14:paraId="576DA69D" w14:textId="77777777" w:rsidR="0023110C" w:rsidRPr="00F62C83" w:rsidRDefault="0023110C" w:rsidP="0023110C">
            <w:pPr>
              <w:rPr>
                <w:rFonts w:cstheme="minorHAnsi"/>
              </w:rPr>
            </w:pPr>
            <w:r w:rsidRPr="00F62C83">
              <w:rPr>
                <w:rFonts w:cstheme="minorHAnsi"/>
              </w:rPr>
              <w:t>Year to Date (Under 5 not included)</w:t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25211E">
              <w:rPr>
                <w:rFonts w:cstheme="minorHAnsi"/>
              </w:rPr>
              <w:t>92.7%</w:t>
            </w:r>
            <w:r>
              <w:rPr>
                <w:rFonts w:cstheme="minorHAnsi"/>
              </w:rPr>
              <w:t xml:space="preserve"> - same</w:t>
            </w:r>
          </w:p>
          <w:p w14:paraId="249DB312" w14:textId="77777777" w:rsidR="0023110C" w:rsidRPr="00F62C83" w:rsidRDefault="0023110C" w:rsidP="0023110C">
            <w:pPr>
              <w:rPr>
                <w:rFonts w:cstheme="minorHAnsi"/>
              </w:rPr>
            </w:pPr>
            <w:r w:rsidRPr="00F62C83">
              <w:rPr>
                <w:rFonts w:cstheme="minorHAnsi"/>
              </w:rPr>
              <w:t>Whole School Weekly</w:t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</w:rPr>
              <w:tab/>
            </w:r>
            <w:r w:rsidRPr="00F62C83">
              <w:rPr>
                <w:rFonts w:cstheme="minorHAnsi"/>
                <w:color w:val="FF0000"/>
              </w:rPr>
              <w:t>9</w:t>
            </w:r>
            <w:r>
              <w:rPr>
                <w:rFonts w:cstheme="minorHAnsi"/>
                <w:color w:val="FF0000"/>
              </w:rPr>
              <w:t>1</w:t>
            </w:r>
            <w:r w:rsidRPr="00F62C83">
              <w:rPr>
                <w:rFonts w:cstheme="minorHAnsi"/>
                <w:color w:val="FF0000"/>
              </w:rPr>
              <w:t>.</w:t>
            </w:r>
            <w:r>
              <w:rPr>
                <w:rFonts w:cstheme="minorHAnsi"/>
                <w:color w:val="FF0000"/>
              </w:rPr>
              <w:t>0</w:t>
            </w:r>
            <w:r w:rsidRPr="00F62C83">
              <w:rPr>
                <w:rFonts w:cstheme="minorHAnsi"/>
                <w:color w:val="FF0000"/>
              </w:rPr>
              <w:t>%</w:t>
            </w:r>
            <w:r>
              <w:rPr>
                <w:rFonts w:cstheme="minorHAnsi"/>
                <w:color w:val="FF0000"/>
              </w:rPr>
              <w:t xml:space="preserve"> - strike (sibling absence)</w:t>
            </w:r>
          </w:p>
          <w:p w14:paraId="50EB91CE" w14:textId="77777777" w:rsidR="0023110C" w:rsidRPr="0025211E" w:rsidRDefault="0023110C" w:rsidP="0023110C">
            <w:pPr>
              <w:rPr>
                <w:rFonts w:cstheme="minorHAnsi"/>
                <w:color w:val="FF0000"/>
              </w:rPr>
            </w:pPr>
            <w:r w:rsidRPr="00F62C83">
              <w:rPr>
                <w:rFonts w:cstheme="minorHAnsi"/>
              </w:rPr>
              <w:t>Whole School weekly (Under 5 not included)</w:t>
            </w:r>
            <w:r w:rsidRPr="00826880">
              <w:rPr>
                <w:rFonts w:cstheme="minorHAnsi"/>
                <w:b/>
              </w:rPr>
              <w:tab/>
            </w:r>
            <w:r w:rsidRPr="00826880">
              <w:rPr>
                <w:rFonts w:cstheme="minorHAnsi"/>
                <w:b/>
              </w:rPr>
              <w:tab/>
            </w:r>
            <w:r w:rsidRPr="00826880">
              <w:rPr>
                <w:rFonts w:cstheme="minorHAnsi"/>
                <w:b/>
              </w:rPr>
              <w:tab/>
            </w:r>
            <w:r w:rsidRPr="00826880">
              <w:rPr>
                <w:rFonts w:cstheme="minorHAnsi"/>
                <w:b/>
              </w:rPr>
              <w:tab/>
            </w:r>
            <w:r w:rsidRPr="0025211E">
              <w:rPr>
                <w:rFonts w:cstheme="minorHAnsi"/>
                <w:color w:val="FF0000"/>
              </w:rPr>
              <w:t>90.8%</w:t>
            </w:r>
            <w:r>
              <w:rPr>
                <w:rFonts w:cstheme="minorHAnsi"/>
                <w:color w:val="FF0000"/>
              </w:rPr>
              <w:t xml:space="preserve"> - strike (sibling absence)</w:t>
            </w:r>
          </w:p>
          <w:p w14:paraId="7845649F" w14:textId="77777777" w:rsidR="0023110C" w:rsidRPr="0025211E" w:rsidRDefault="0023110C" w:rsidP="0023110C">
            <w:pPr>
              <w:rPr>
                <w:rFonts w:cstheme="minorHAnsi"/>
              </w:rPr>
            </w:pPr>
            <w:r w:rsidRPr="0025211E">
              <w:rPr>
                <w:rFonts w:cstheme="minorHAnsi"/>
              </w:rPr>
              <w:t>Persistent Absence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20.85% - improving</w:t>
            </w:r>
          </w:p>
          <w:p w14:paraId="5D7E64DA" w14:textId="77777777" w:rsidR="005036A6" w:rsidRDefault="005036A6"/>
        </w:tc>
      </w:tr>
    </w:tbl>
    <w:p w14:paraId="144AE920" w14:textId="77777777" w:rsidR="005036A6" w:rsidRDefault="005036A6"/>
    <w:sectPr w:rsidR="005036A6" w:rsidSect="00E50AFE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1BDD"/>
    <w:multiLevelType w:val="hybridMultilevel"/>
    <w:tmpl w:val="32626B3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1D7078FA"/>
    <w:multiLevelType w:val="hybridMultilevel"/>
    <w:tmpl w:val="44FA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31C7"/>
    <w:multiLevelType w:val="hybridMultilevel"/>
    <w:tmpl w:val="9342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C10"/>
    <w:multiLevelType w:val="hybridMultilevel"/>
    <w:tmpl w:val="E8DC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39D"/>
    <w:multiLevelType w:val="hybridMultilevel"/>
    <w:tmpl w:val="5164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B0F41"/>
    <w:multiLevelType w:val="hybridMultilevel"/>
    <w:tmpl w:val="CAD8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A0C7C"/>
    <w:multiLevelType w:val="hybridMultilevel"/>
    <w:tmpl w:val="F920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A6"/>
    <w:rsid w:val="000A6826"/>
    <w:rsid w:val="00125A9B"/>
    <w:rsid w:val="00151F6A"/>
    <w:rsid w:val="0023110C"/>
    <w:rsid w:val="00231B56"/>
    <w:rsid w:val="00241C65"/>
    <w:rsid w:val="002678FB"/>
    <w:rsid w:val="00322343"/>
    <w:rsid w:val="0035056A"/>
    <w:rsid w:val="003A31A9"/>
    <w:rsid w:val="003D5DF2"/>
    <w:rsid w:val="00405A7D"/>
    <w:rsid w:val="0042323C"/>
    <w:rsid w:val="004E5A45"/>
    <w:rsid w:val="005036A6"/>
    <w:rsid w:val="005A4C06"/>
    <w:rsid w:val="00643E07"/>
    <w:rsid w:val="006F5C3E"/>
    <w:rsid w:val="008836ED"/>
    <w:rsid w:val="009B36E3"/>
    <w:rsid w:val="00A13292"/>
    <w:rsid w:val="00B7113F"/>
    <w:rsid w:val="00BC1A56"/>
    <w:rsid w:val="00D2142D"/>
    <w:rsid w:val="00D919FE"/>
    <w:rsid w:val="00DB3CC6"/>
    <w:rsid w:val="00DD6BF0"/>
    <w:rsid w:val="00E25E05"/>
    <w:rsid w:val="00E50AFE"/>
    <w:rsid w:val="00E93128"/>
    <w:rsid w:val="00F119BE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3C2C"/>
  <w15:chartTrackingRefBased/>
  <w15:docId w15:val="{83E7CF8E-7C47-4903-8A5E-868C3A0C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FAE4CB78B484D94B99CD8442C1E10" ma:contentTypeVersion="15" ma:contentTypeDescription="Create a new document." ma:contentTypeScope="" ma:versionID="dbb893cce528ae4a92763a49cbb33e41">
  <xsd:schema xmlns:xsd="http://www.w3.org/2001/XMLSchema" xmlns:xs="http://www.w3.org/2001/XMLSchema" xmlns:p="http://schemas.microsoft.com/office/2006/metadata/properties" xmlns:ns3="953f6a38-261f-46dd-879f-b63c6fdbfedc" xmlns:ns4="a09d7762-be6f-4bbc-ae89-9c35a7501914" targetNamespace="http://schemas.microsoft.com/office/2006/metadata/properties" ma:root="true" ma:fieldsID="ea1e087c0b45bf396494995d5f87ac72" ns3:_="" ns4:_="">
    <xsd:import namespace="953f6a38-261f-46dd-879f-b63c6fdbfedc"/>
    <xsd:import namespace="a09d7762-be6f-4bbc-ae89-9c35a7501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6a38-261f-46dd-879f-b63c6fdb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7762-be6f-4bbc-ae89-9c35a7501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3f6a38-261f-46dd-879f-b63c6fdbfedc" xsi:nil="true"/>
  </documentManagement>
</p:properties>
</file>

<file path=customXml/itemProps1.xml><?xml version="1.0" encoding="utf-8"?>
<ds:datastoreItem xmlns:ds="http://schemas.openxmlformats.org/officeDocument/2006/customXml" ds:itemID="{1B322EC8-F46A-434D-B123-5E080FEBE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607C3-2DDA-4A6C-893D-F5F5F77B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6a38-261f-46dd-879f-b63c6fdbfedc"/>
    <ds:schemaRef ds:uri="a09d7762-be6f-4bbc-ae89-9c35a7501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0C85D-D5E0-4F80-8556-7230C2480DE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09d7762-be6f-4bbc-ae89-9c35a7501914"/>
    <ds:schemaRef ds:uri="953f6a38-261f-46dd-879f-b63c6fdbf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Yates</dc:creator>
  <cp:keywords/>
  <dc:description/>
  <cp:lastModifiedBy>Karen Yates</cp:lastModifiedBy>
  <cp:revision>2</cp:revision>
  <dcterms:created xsi:type="dcterms:W3CDTF">2023-04-18T16:49:00Z</dcterms:created>
  <dcterms:modified xsi:type="dcterms:W3CDTF">2023-04-18T16:49:00Z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0x01010083BFAE4CB78B484D94B99CD8442C1E10</vt:lpwstr>
  </property>
</Properties>
</file>